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关于《国家税务总局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市税务局关于明确土地增值税预计增值率测算方法的公告（征求意见稿）》的解读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税务局发布了《国家税务总局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税务局关于明确土地增值税预计增值率测算方法的公告》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（国家税务总局深圳市税务局公告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2025年第X号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（以下简称《公告》），现将《公告》解读如下：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《公告》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出台背景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日，国家税务总局广东省税务局、国家税务总局深圳市税务局联合发布了《国家税务总局广东省税务局 国家税务总局深圳市税务局关于调整土地增值税预征率的公告》（国家税务总局广东省税务局公告 2024 年第5号），明确了土地增值税首次预征纳税义务发生时间在2025年1月1日后的房地产开发项目，根据预计增值率高低适用不同的预征率。为明确预计增值率的测算方法，特制定本《公告》。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二、《公告》的主要内容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根据《中华人民共和国土地增值税暂行条例》有关收入和扣除项目的规定，《公告》明确了预计增值率的测算方法和测算表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格。土地增值税预计增值率的测算方法主要参照了广州等地的测算方法。其中关于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建筑安装工程费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的测算，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《公告》主要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参考我市最近两年（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2023-2024年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出具土地增值税清算结论项目的平均建安成本（</w:t>
      </w:r>
      <w:r>
        <w:rPr>
          <w:rFonts w:hint="eastAsia" w:ascii="仿宋_GB2312" w:hAnsi="仿宋_GB2312" w:eastAsia="仿宋_GB2312" w:cs="仿宋_GB2312"/>
          <w:sz w:val="32"/>
          <w:szCs w:val="32"/>
        </w:rPr>
        <w:t>5812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元/平方米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，同时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考虑房地产开发项目的清算时间滞后于开发时间，因此，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2025年度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建筑安装工程费的测算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5812元/平方米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的基础上再上浮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30%计算确定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。后续年度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年一季度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形式对外发布我市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最近两年已清算项目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平均建安成本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（例如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2026年第一季度发布2024-2025年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已清算项目平均建安成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另外，结合我市已清算土地增值税项目的成本费用情况，前期工程费、基础设施费、公共配套设施费和开发间接费用，根据建筑安装工程费的25%计算确定。现举例说明测算过程：</w:t>
      </w:r>
    </w:p>
    <w:p>
      <w:pPr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某房地产开发项目总建筑面积13,000㎡，可售建筑面积10,000㎡，其中住宅类型8,00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0㎡、商业类型2,000㎡，各房屋类型的每平方米含税价格分别为40,000元/㎡、30,000元/㎡，该纳税人增值税的适用税率为9%。该项目发生取得土地使用权所支付的金额4,000万元、土地征用及拆迁补偿费1,000万元。该项目预计增值率计算过程见下表：</w:t>
      </w:r>
    </w:p>
    <w:p>
      <w:pPr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2"/>
        <w:tblW w:w="8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583"/>
        <w:gridCol w:w="818"/>
        <w:gridCol w:w="1814"/>
        <w:gridCol w:w="3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  目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金额（单位：元）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一、每平方米应税收入1=(2*22+3*23+4*24)/21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34,862.39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[40000÷（1+9%）×8000+30000÷（1+9%）×2000+]÷（8000+2000)=34862.39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住宅类型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36,697.25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商业类型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27,522.94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其他类型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二、预计扣除项目金额合计                5=6+7+15+16+20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225,867,095.87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1.取得土地使用权所支付的金额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40,000,000.00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2.房地产开发成本7=8+9+10+11+12+13+14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132,778,500.00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土地征用及拆迁补偿费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建筑安装工程费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98,222,800.00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13000×5812×(1+30%)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=98222800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前期工程费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24,555,700.00</w:t>
            </w:r>
          </w:p>
        </w:tc>
        <w:tc>
          <w:tcPr>
            <w:tcW w:w="3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按照建筑安装工程费与“装修成本+”之和乘以25%计算（即第9栏+第14栏）*25%。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98,222,800×25%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=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24,555,700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基础设施费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公共配套设施费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开发间接费用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+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3.房地产开发费用 15=(6+7)*10%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17,277,850.00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4.与转让房地产有关的税金等 16=17+18+19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1,255,045.87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其中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732,110.09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[40000÷（1+9%）×8000+30000÷（1+9%）×2000]×3%×7%=732,110.09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教育费附加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313,761.47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[40000÷（1+9%）×8000+30000÷（1+9%）×2000]×3%×3%=313,761.47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地方教育费附加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209,174.31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[40000÷（1+9%）×5000+30000÷（1+9%）×2000]×3%×2%=209,174.31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5.财政部规定的其他扣除 20=(6+7)*20%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34,555,700.00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三、可售建筑面积21=22+23+24（单位：平方米）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10,000.00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住宅类型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8,000.00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商业类型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2,000.00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其他类型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四、每平方扣除项目金额 25=5/21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22,586.71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五、每平方米增值额 26=1-25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12,275.68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六、预计增值率 27=26/25*100%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54.35%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三、《公告》的生效时间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自2025年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日起施行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EA4756"/>
    <w:rsid w:val="01F64404"/>
    <w:rsid w:val="09DD30E3"/>
    <w:rsid w:val="0A877CEC"/>
    <w:rsid w:val="0AB86020"/>
    <w:rsid w:val="0B0051D3"/>
    <w:rsid w:val="0EE66684"/>
    <w:rsid w:val="0F0D0E35"/>
    <w:rsid w:val="101C7A94"/>
    <w:rsid w:val="12C814C2"/>
    <w:rsid w:val="183B0DB1"/>
    <w:rsid w:val="192A3A5C"/>
    <w:rsid w:val="19766D00"/>
    <w:rsid w:val="1A544DDF"/>
    <w:rsid w:val="1A6E7965"/>
    <w:rsid w:val="1BDC117B"/>
    <w:rsid w:val="1BF323B2"/>
    <w:rsid w:val="1E3C7D51"/>
    <w:rsid w:val="1EFE7CDE"/>
    <w:rsid w:val="1FDA2B16"/>
    <w:rsid w:val="1FEB1067"/>
    <w:rsid w:val="232530B3"/>
    <w:rsid w:val="261F5BC3"/>
    <w:rsid w:val="296D5F0A"/>
    <w:rsid w:val="2A3E1C2C"/>
    <w:rsid w:val="2B3915BF"/>
    <w:rsid w:val="2C6E41F1"/>
    <w:rsid w:val="2F487D75"/>
    <w:rsid w:val="30FA078B"/>
    <w:rsid w:val="3A4B52D2"/>
    <w:rsid w:val="3D8B3935"/>
    <w:rsid w:val="416274DC"/>
    <w:rsid w:val="46BF058C"/>
    <w:rsid w:val="4B7A6168"/>
    <w:rsid w:val="4D1E1E51"/>
    <w:rsid w:val="4DE27E56"/>
    <w:rsid w:val="4E2F214B"/>
    <w:rsid w:val="502A6BFD"/>
    <w:rsid w:val="523605B9"/>
    <w:rsid w:val="53856F07"/>
    <w:rsid w:val="5B8E3FEE"/>
    <w:rsid w:val="5FF61AD1"/>
    <w:rsid w:val="635A4032"/>
    <w:rsid w:val="638C1160"/>
    <w:rsid w:val="651052E1"/>
    <w:rsid w:val="66D619D9"/>
    <w:rsid w:val="699B3A47"/>
    <w:rsid w:val="6A59506C"/>
    <w:rsid w:val="6ECA6C34"/>
    <w:rsid w:val="739D254F"/>
    <w:rsid w:val="73C80C08"/>
    <w:rsid w:val="7F1A2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1180</Words>
  <Characters>1241</Characters>
  <Paragraphs>5</Paragraphs>
  <TotalTime>8</TotalTime>
  <ScaleCrop>false</ScaleCrop>
  <LinksUpToDate>false</LinksUpToDate>
  <CharactersWithSpaces>1241</CharactersWithSpaces>
  <Application>WPS Office_11.8.2.8959_F1E327BC-269C-435d-A152-05C5408002CA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2025-02-10T01:38:00Z</dcterms:created>
  <dc:creator>REP-AN00</dc:creator>
  <cp:lastModifiedBy>王婧玥</cp:lastModifiedBy>
  <dcterms:modified xsi:type="dcterms:W3CDTF">2025-03-06T03:03:58Z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1c992e9b0c4b425ab457ba72b759d3fc_21</vt:lpwstr>
  </property>
  <property fmtid="{D5CDD505-2E9C-101B-9397-08002B2CF9AE}" pid="3" name="KSOProductBuildVer">
    <vt:lpwstr>2052-11.8.2.8959</vt:lpwstr>
  </property>
</Properties>
</file>