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hAnsi="华文中宋" w:eastAsia="华文中宋"/>
          <w:b/>
          <w:sz w:val="72"/>
        </w:rPr>
      </w:pPr>
      <w:r>
        <w:rPr>
          <w:rFonts w:ascii="黑体" w:eastAsia="黑体"/>
          <w:sz w:val="24"/>
        </w:rPr>
        <w:drawing>
          <wp:inline distT="0" distB="0" distL="0" distR="0">
            <wp:extent cx="1543050" cy="685800"/>
            <wp:effectExtent l="0" t="0" r="0" b="0"/>
            <wp:docPr id="1" name="图片 1" descr="新LOGO2018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201808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43050" cy="685800"/>
                    </a:xfrm>
                    <a:prstGeom prst="rect">
                      <a:avLst/>
                    </a:prstGeom>
                    <a:noFill/>
                    <a:ln>
                      <a:noFill/>
                    </a:ln>
                  </pic:spPr>
                </pic:pic>
              </a:graphicData>
            </a:graphic>
          </wp:inline>
        </w:drawing>
      </w:r>
    </w:p>
    <w:p>
      <w:pPr>
        <w:spacing w:line="480" w:lineRule="auto"/>
        <w:rPr>
          <w:rFonts w:ascii="华文中宋" w:hAnsi="华文中宋" w:eastAsia="华文中宋"/>
          <w:b/>
          <w:sz w:val="72"/>
        </w:rPr>
      </w:pPr>
    </w:p>
    <w:p>
      <w:pPr>
        <w:snapToGrid w:val="0"/>
        <w:jc w:val="center"/>
        <w:rPr>
          <w:rFonts w:ascii="黑体" w:eastAsia="黑体"/>
          <w:b/>
          <w:bCs/>
          <w:sz w:val="72"/>
          <w:szCs w:val="72"/>
        </w:rPr>
      </w:pPr>
      <w:r>
        <w:rPr>
          <w:rFonts w:hint="eastAsia" w:ascii="黑体" w:hAnsi="华文中宋" w:eastAsia="黑体" w:cs="华文中宋"/>
          <w:b/>
          <w:bCs/>
          <w:sz w:val="72"/>
          <w:szCs w:val="72"/>
        </w:rPr>
        <w:t>货物采购</w:t>
      </w:r>
    </w:p>
    <w:p>
      <w:pPr>
        <w:snapToGrid w:val="0"/>
        <w:spacing w:beforeLines="50"/>
        <w:jc w:val="center"/>
        <w:rPr>
          <w:rFonts w:ascii="仿宋_GB2312" w:eastAsia="仿宋_GB2312"/>
          <w:b/>
          <w:bCs/>
          <w:sz w:val="72"/>
          <w:szCs w:val="72"/>
        </w:rPr>
      </w:pPr>
      <w:r>
        <w:rPr>
          <w:rFonts w:hint="eastAsia" w:ascii="黑体" w:hAnsi="华文中宋" w:eastAsia="黑体" w:cs="华文中宋"/>
          <w:b/>
          <w:bCs/>
          <w:sz w:val="72"/>
          <w:szCs w:val="72"/>
        </w:rPr>
        <w:t>竞争性谈判文件</w:t>
      </w:r>
    </w:p>
    <w:p>
      <w:pPr>
        <w:spacing w:line="480" w:lineRule="auto"/>
        <w:rPr>
          <w:rFonts w:ascii="宋体" w:hAnsi="宋体"/>
          <w:sz w:val="24"/>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15"/>
        <w:spacing w:line="360" w:lineRule="auto"/>
        <w:ind w:left="691" w:leftChars="329" w:firstLine="1280" w:firstLineChars="400"/>
        <w:rPr>
          <w:rFonts w:ascii="黑体" w:eastAsia="黑体"/>
          <w:sz w:val="32"/>
        </w:rPr>
      </w:pPr>
      <w:r>
        <w:rPr>
          <w:rFonts w:hint="eastAsia" w:ascii="黑体" w:eastAsia="黑体"/>
          <w:sz w:val="32"/>
        </w:rPr>
        <w:t>项目编号：CLF0119SZ14QY80</w:t>
      </w:r>
    </w:p>
    <w:p>
      <w:pPr>
        <w:snapToGrid w:val="0"/>
        <w:spacing w:line="360" w:lineRule="auto"/>
        <w:ind w:left="3515" w:leftChars="912" w:hanging="1600" w:hangingChars="500"/>
        <w:rPr>
          <w:rFonts w:ascii="黑体" w:eastAsia="黑体"/>
          <w:sz w:val="32"/>
        </w:rPr>
      </w:pPr>
      <w:r>
        <w:rPr>
          <w:rFonts w:hint="eastAsia" w:ascii="黑体" w:eastAsia="黑体"/>
          <w:sz w:val="32"/>
        </w:rPr>
        <w:t>项目名称：国家税务总局深圳市罗湖区税务局税收征管表格印制项目</w:t>
      </w:r>
    </w:p>
    <w:p>
      <w:pPr>
        <w:pStyle w:val="15"/>
        <w:spacing w:line="360" w:lineRule="auto"/>
        <w:rPr>
          <w:rFonts w:ascii="仿宋_GB2312" w:eastAsia="仿宋_GB2312"/>
          <w:b/>
          <w:sz w:val="32"/>
        </w:rPr>
      </w:pPr>
    </w:p>
    <w:p>
      <w:pPr>
        <w:snapToGrid w:val="0"/>
        <w:spacing w:line="360" w:lineRule="auto"/>
        <w:rPr>
          <w:rFonts w:ascii="仿宋_GB2312" w:eastAsia="仿宋_GB2312"/>
          <w:sz w:val="32"/>
        </w:rPr>
      </w:pPr>
    </w:p>
    <w:p>
      <w:pPr>
        <w:spacing w:line="360" w:lineRule="auto"/>
        <w:rPr>
          <w:rFonts w:eastAsia="华文中宋"/>
          <w:sz w:val="30"/>
        </w:rPr>
      </w:pPr>
    </w:p>
    <w:p>
      <w:pPr>
        <w:spacing w:line="360" w:lineRule="auto"/>
        <w:rPr>
          <w:rFonts w:eastAsia="华文中宋"/>
          <w:sz w:val="30"/>
        </w:rPr>
      </w:pPr>
    </w:p>
    <w:p>
      <w:pPr>
        <w:spacing w:line="360" w:lineRule="auto"/>
        <w:rPr>
          <w:rFonts w:eastAsia="华文中宋"/>
          <w:sz w:val="30"/>
        </w:rPr>
      </w:pPr>
    </w:p>
    <w:p>
      <w:pPr>
        <w:spacing w:line="360" w:lineRule="auto"/>
        <w:rPr>
          <w:rFonts w:eastAsia="华文中宋"/>
          <w:sz w:val="30"/>
        </w:rPr>
      </w:pPr>
    </w:p>
    <w:p>
      <w:pPr>
        <w:spacing w:line="360" w:lineRule="auto"/>
        <w:jc w:val="center"/>
        <w:rPr>
          <w:rFonts w:eastAsia="华文中宋"/>
          <w:sz w:val="30"/>
        </w:rPr>
      </w:pPr>
      <w:r>
        <w:rPr>
          <w:rFonts w:hint="eastAsia" w:eastAsia="华文中宋"/>
          <w:sz w:val="30"/>
        </w:rPr>
        <w:t>国家税务总局深圳市罗湖区税务局</w:t>
      </w:r>
    </w:p>
    <w:p>
      <w:pPr>
        <w:spacing w:line="360" w:lineRule="auto"/>
        <w:jc w:val="center"/>
        <w:rPr>
          <w:rFonts w:ascii="黑体" w:eastAsia="黑体"/>
          <w:sz w:val="30"/>
          <w:szCs w:val="30"/>
        </w:rPr>
      </w:pPr>
      <w:r>
        <w:rPr>
          <w:rFonts w:hint="eastAsia" w:ascii="黑体" w:eastAsia="黑体"/>
          <w:sz w:val="30"/>
          <w:szCs w:val="30"/>
        </w:rPr>
        <w:t>广东采联采购科技有限公司</w:t>
      </w:r>
    </w:p>
    <w:p>
      <w:pPr>
        <w:spacing w:line="360" w:lineRule="auto"/>
        <w:jc w:val="center"/>
        <w:rPr>
          <w:rFonts w:ascii="黑体" w:eastAsia="黑体"/>
          <w:sz w:val="30"/>
          <w:szCs w:val="30"/>
        </w:rPr>
        <w:sectPr>
          <w:pgSz w:w="11906" w:h="16838"/>
          <w:pgMar w:top="1134" w:right="1134" w:bottom="1134" w:left="1134" w:header="851" w:footer="635" w:gutter="0"/>
          <w:cols w:space="425" w:num="1"/>
          <w:docGrid w:type="lines" w:linePitch="312" w:charSpace="0"/>
        </w:sectPr>
      </w:pPr>
      <w:r>
        <w:rPr>
          <w:rFonts w:hint="eastAsia" w:ascii="黑体" w:eastAsia="黑体"/>
          <w:sz w:val="30"/>
          <w:szCs w:val="30"/>
        </w:rPr>
        <w:t xml:space="preserve"> 2019年</w:t>
      </w:r>
      <w:r>
        <w:rPr>
          <w:rFonts w:ascii="黑体" w:eastAsia="黑体"/>
          <w:sz w:val="30"/>
          <w:szCs w:val="30"/>
        </w:rPr>
        <w:t>12</w:t>
      </w:r>
      <w:r>
        <w:rPr>
          <w:rFonts w:hint="eastAsia" w:ascii="黑体" w:eastAsia="黑体"/>
          <w:sz w:val="30"/>
          <w:szCs w:val="30"/>
        </w:rPr>
        <w:t xml:space="preserve"> 月</w:t>
      </w:r>
      <w:r>
        <w:rPr>
          <w:rFonts w:ascii="黑体" w:eastAsia="黑体"/>
          <w:sz w:val="30"/>
          <w:szCs w:val="30"/>
        </w:rPr>
        <w:t>16</w:t>
      </w:r>
      <w:r>
        <w:rPr>
          <w:rFonts w:hint="eastAsia" w:ascii="黑体" w:eastAsia="黑体"/>
          <w:sz w:val="30"/>
          <w:szCs w:val="30"/>
        </w:rPr>
        <w:t>日</w:t>
      </w:r>
    </w:p>
    <w:p>
      <w:pPr>
        <w:autoSpaceDE w:val="0"/>
        <w:autoSpaceDN w:val="0"/>
        <w:adjustRightInd w:val="0"/>
        <w:snapToGrid w:val="0"/>
        <w:spacing w:beforeLines="50" w:afterLines="50" w:line="360" w:lineRule="auto"/>
        <w:jc w:val="center"/>
        <w:rPr>
          <w:rFonts w:ascii="宋体" w:hAnsi="宋体"/>
          <w:b/>
          <w:sz w:val="44"/>
          <w:szCs w:val="44"/>
        </w:rPr>
      </w:pPr>
      <w:r>
        <w:rPr>
          <w:rFonts w:hint="eastAsia" w:ascii="宋体" w:hAnsi="宋体"/>
          <w:b/>
          <w:sz w:val="44"/>
          <w:szCs w:val="44"/>
        </w:rPr>
        <w:t>温馨提示！！！</w:t>
      </w:r>
    </w:p>
    <w:p>
      <w:pPr>
        <w:tabs>
          <w:tab w:val="left" w:pos="0"/>
        </w:tabs>
        <w:spacing w:beforeLines="50" w:afterLines="50" w:line="360" w:lineRule="auto"/>
        <w:jc w:val="center"/>
        <w:rPr>
          <w:rFonts w:ascii="宋体" w:hAnsi="宋体"/>
          <w:b/>
          <w:szCs w:val="21"/>
        </w:rPr>
      </w:pPr>
      <w:r>
        <w:rPr>
          <w:rFonts w:hint="eastAsia" w:ascii="宋体" w:hAnsi="宋体"/>
          <w:b/>
          <w:szCs w:val="21"/>
        </w:rPr>
        <w:t>（本提示内容非谈判文件的组成部分，仅为善意提醒。如有不一致的地方，以谈判文件为准）</w:t>
      </w:r>
    </w:p>
    <w:p>
      <w:pPr>
        <w:numPr>
          <w:ilvl w:val="0"/>
          <w:numId w:val="4"/>
        </w:numPr>
        <w:tabs>
          <w:tab w:val="left" w:pos="709"/>
        </w:tabs>
        <w:spacing w:line="360" w:lineRule="auto"/>
        <w:ind w:left="700" w:hanging="700"/>
        <w:rPr>
          <w:rFonts w:ascii="宋体" w:hAnsi="宋体"/>
          <w:szCs w:val="21"/>
        </w:rPr>
      </w:pPr>
      <w:r>
        <w:rPr>
          <w:rFonts w:hint="eastAsia" w:ascii="宋体" w:hAnsi="宋体"/>
          <w:szCs w:val="21"/>
        </w:rPr>
        <w:t>如无另行说明，响应文件递交时间为提交响应文件截止时间</w:t>
      </w:r>
      <w:r>
        <w:rPr>
          <w:rFonts w:hint="eastAsia" w:ascii="宋体" w:hAnsi="宋体"/>
          <w:b/>
          <w:szCs w:val="21"/>
          <w:u w:val="single"/>
        </w:rPr>
        <w:t>前30分钟</w:t>
      </w:r>
      <w:r>
        <w:rPr>
          <w:rFonts w:hint="eastAsia" w:ascii="宋体" w:hAnsi="宋体"/>
          <w:szCs w:val="21"/>
        </w:rPr>
        <w:t>内。</w:t>
      </w:r>
    </w:p>
    <w:p>
      <w:pPr>
        <w:numPr>
          <w:ilvl w:val="0"/>
          <w:numId w:val="4"/>
        </w:numPr>
        <w:tabs>
          <w:tab w:val="left" w:pos="709"/>
        </w:tabs>
        <w:spacing w:line="360" w:lineRule="auto"/>
        <w:ind w:left="700" w:hanging="700"/>
        <w:rPr>
          <w:rFonts w:ascii="宋体" w:hAnsi="宋体"/>
          <w:szCs w:val="21"/>
        </w:rPr>
      </w:pPr>
      <w:r>
        <w:rPr>
          <w:rFonts w:hint="eastAsia" w:ascii="宋体" w:hAnsi="宋体"/>
        </w:rPr>
        <w:t>本项目须法定代表人或授权代表到场参与谈判，</w:t>
      </w: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4"/>
        </w:numPr>
        <w:tabs>
          <w:tab w:val="left" w:pos="709"/>
        </w:tabs>
        <w:spacing w:line="360" w:lineRule="auto"/>
        <w:ind w:left="700" w:hanging="700"/>
        <w:rPr>
          <w:rFonts w:ascii="宋体" w:hAnsi="宋体"/>
          <w:szCs w:val="21"/>
        </w:rPr>
      </w:pPr>
      <w:r>
        <w:rPr>
          <w:rFonts w:hint="eastAsia" w:ascii="宋体" w:hAnsi="宋体"/>
          <w:szCs w:val="21"/>
        </w:rPr>
        <w:t>响应文件应按顺序</w:t>
      </w:r>
      <w:r>
        <w:rPr>
          <w:rFonts w:hint="eastAsia" w:ascii="宋体" w:hAnsi="宋体"/>
          <w:b/>
          <w:szCs w:val="21"/>
          <w:u w:val="single"/>
        </w:rPr>
        <w:t>编制页码</w:t>
      </w:r>
      <w:r>
        <w:rPr>
          <w:rFonts w:hint="eastAsia" w:ascii="宋体" w:hAnsi="宋体"/>
          <w:szCs w:val="21"/>
        </w:rPr>
        <w:t>。</w:t>
      </w:r>
    </w:p>
    <w:p>
      <w:pPr>
        <w:numPr>
          <w:ilvl w:val="0"/>
          <w:numId w:val="4"/>
        </w:numPr>
        <w:tabs>
          <w:tab w:val="left" w:pos="709"/>
        </w:tabs>
        <w:spacing w:line="360" w:lineRule="auto"/>
        <w:ind w:left="700" w:hanging="700"/>
        <w:rPr>
          <w:rFonts w:ascii="宋体" w:hAnsi="宋体"/>
          <w:szCs w:val="21"/>
        </w:rPr>
      </w:pPr>
      <w:r>
        <w:rPr>
          <w:rFonts w:hint="eastAsia" w:ascii="宋体" w:hAnsi="宋体"/>
          <w:szCs w:val="21"/>
        </w:rPr>
        <w:t>请仔细检查响应文件是否已按谈判文件要求</w:t>
      </w:r>
      <w:r>
        <w:rPr>
          <w:rFonts w:hint="eastAsia" w:ascii="宋体" w:hAnsi="宋体"/>
          <w:b/>
          <w:szCs w:val="21"/>
          <w:u w:val="single"/>
        </w:rPr>
        <w:t>盖章、签名、签署日期</w:t>
      </w:r>
      <w:r>
        <w:rPr>
          <w:rFonts w:hint="eastAsia" w:ascii="宋体" w:hAnsi="宋体"/>
          <w:szCs w:val="21"/>
        </w:rPr>
        <w:t>。</w:t>
      </w:r>
    </w:p>
    <w:p>
      <w:pPr>
        <w:numPr>
          <w:ilvl w:val="0"/>
          <w:numId w:val="4"/>
        </w:numPr>
        <w:tabs>
          <w:tab w:val="left" w:pos="709"/>
        </w:tabs>
        <w:spacing w:line="360" w:lineRule="auto"/>
        <w:ind w:left="700" w:hanging="700"/>
        <w:rPr>
          <w:rFonts w:ascii="宋体" w:hAnsi="宋体"/>
          <w:szCs w:val="21"/>
        </w:rPr>
      </w:pPr>
      <w:r>
        <w:rPr>
          <w:rFonts w:hint="eastAsia" w:ascii="宋体" w:hAnsi="宋体"/>
          <w:szCs w:val="21"/>
        </w:rPr>
        <w:t>请正确填写《报价表》。多包组项目请仔细检查包组号，包组号与包组采购内容必须对应。</w:t>
      </w:r>
    </w:p>
    <w:p>
      <w:pPr>
        <w:numPr>
          <w:ilvl w:val="0"/>
          <w:numId w:val="4"/>
        </w:numPr>
        <w:tabs>
          <w:tab w:val="left" w:pos="709"/>
        </w:tabs>
        <w:spacing w:line="360" w:lineRule="auto"/>
        <w:ind w:left="700" w:hanging="700"/>
        <w:rPr>
          <w:rFonts w:ascii="宋体" w:hAnsi="宋体"/>
          <w:szCs w:val="21"/>
        </w:rPr>
      </w:pPr>
      <w:r>
        <w:rPr>
          <w:rFonts w:hint="eastAsia" w:ascii="宋体" w:hAnsi="宋体"/>
          <w:szCs w:val="21"/>
        </w:rPr>
        <w:t>响应供应商如需对项目提出询问或质疑，应按谈判文件附件中的询问函和质疑函的格式提交。</w:t>
      </w:r>
    </w:p>
    <w:p>
      <w:pPr>
        <w:tabs>
          <w:tab w:val="left" w:pos="709"/>
        </w:tabs>
        <w:spacing w:line="360" w:lineRule="auto"/>
        <w:rPr>
          <w:rFonts w:ascii="宋体" w:hAnsi="宋体"/>
          <w:strike/>
          <w:szCs w:val="21"/>
        </w:rPr>
      </w:pPr>
    </w:p>
    <w:p>
      <w:pPr>
        <w:spacing w:line="360" w:lineRule="auto"/>
        <w:jc w:val="center"/>
        <w:rPr>
          <w:rFonts w:ascii="宋体" w:hAnsi="宋体" w:cs="黑体"/>
          <w:b/>
          <w:bCs/>
          <w:kern w:val="0"/>
          <w:sz w:val="44"/>
          <w:szCs w:val="44"/>
        </w:rPr>
      </w:pPr>
      <w:r>
        <w:rPr>
          <w:rFonts w:ascii="宋体" w:hAnsi="宋体" w:cs="黑体"/>
          <w:b/>
          <w:bCs/>
          <w:kern w:val="0"/>
          <w:sz w:val="44"/>
          <w:szCs w:val="44"/>
          <w:lang w:eastAsia="zh-TW"/>
        </w:rPr>
        <w:br w:type="page"/>
      </w:r>
      <w:r>
        <w:rPr>
          <w:rFonts w:hint="eastAsia" w:ascii="宋体" w:hAnsi="宋体" w:cs="黑体"/>
          <w:b/>
          <w:bCs/>
          <w:kern w:val="0"/>
          <w:sz w:val="44"/>
          <w:szCs w:val="44"/>
          <w:lang w:eastAsia="zh-TW"/>
        </w:rPr>
        <w:t>目　　录</w:t>
      </w:r>
    </w:p>
    <w:p>
      <w:pPr>
        <w:pStyle w:val="23"/>
        <w:tabs>
          <w:tab w:val="right" w:leader="dot" w:pos="9628"/>
        </w:tabs>
        <w:rPr>
          <w:rFonts w:asciiTheme="minorHAnsi" w:hAnsiTheme="minorHAnsi" w:eastAsiaTheme="minorEastAsia" w:cstheme="minorBidi"/>
          <w:sz w:val="32"/>
          <w:szCs w:val="36"/>
        </w:rPr>
      </w:pPr>
      <w:r>
        <w:rPr>
          <w:rStyle w:val="36"/>
          <w:rFonts w:hint="eastAsia" w:ascii="宋体" w:hAnsi="宋体"/>
          <w:color w:val="auto"/>
          <w:sz w:val="32"/>
          <w:szCs w:val="40"/>
        </w:rPr>
        <w:fldChar w:fldCharType="begin"/>
      </w:r>
      <w:r>
        <w:rPr>
          <w:rStyle w:val="36"/>
          <w:rFonts w:hint="eastAsia" w:ascii="宋体" w:hAnsi="宋体"/>
          <w:color w:val="auto"/>
          <w:sz w:val="32"/>
          <w:szCs w:val="40"/>
        </w:rPr>
        <w:instrText xml:space="preserve"> TOC \o "1-1" \h \z \u </w:instrText>
      </w:r>
      <w:r>
        <w:rPr>
          <w:rStyle w:val="36"/>
          <w:rFonts w:hint="eastAsia" w:ascii="宋体" w:hAnsi="宋体"/>
          <w:color w:val="auto"/>
          <w:sz w:val="32"/>
          <w:szCs w:val="40"/>
        </w:rPr>
        <w:fldChar w:fldCharType="separate"/>
      </w:r>
      <w:r>
        <w:fldChar w:fldCharType="begin"/>
      </w:r>
      <w:r>
        <w:instrText xml:space="preserve"> HYPERLINK \l "_Toc27128616" </w:instrText>
      </w:r>
      <w:r>
        <w:fldChar w:fldCharType="separate"/>
      </w:r>
      <w:r>
        <w:rPr>
          <w:rStyle w:val="36"/>
          <w:b/>
          <w:bCs/>
          <w:color w:val="auto"/>
          <w:sz w:val="32"/>
          <w:szCs w:val="40"/>
        </w:rPr>
        <w:t>第一章谈判邀请</w:t>
      </w:r>
      <w:r>
        <w:rPr>
          <w:sz w:val="32"/>
          <w:szCs w:val="40"/>
        </w:rPr>
        <w:tab/>
      </w:r>
      <w:r>
        <w:rPr>
          <w:sz w:val="32"/>
          <w:szCs w:val="40"/>
        </w:rPr>
        <w:fldChar w:fldCharType="begin"/>
      </w:r>
      <w:r>
        <w:rPr>
          <w:sz w:val="32"/>
          <w:szCs w:val="40"/>
        </w:rPr>
        <w:instrText xml:space="preserve"> PAGEREF _Toc27128616 \h </w:instrText>
      </w:r>
      <w:r>
        <w:rPr>
          <w:sz w:val="32"/>
          <w:szCs w:val="40"/>
        </w:rPr>
        <w:fldChar w:fldCharType="separate"/>
      </w:r>
      <w:r>
        <w:rPr>
          <w:sz w:val="32"/>
          <w:szCs w:val="40"/>
        </w:rPr>
        <w:t>4</w:t>
      </w:r>
      <w:r>
        <w:rPr>
          <w:sz w:val="32"/>
          <w:szCs w:val="40"/>
        </w:rPr>
        <w:fldChar w:fldCharType="end"/>
      </w:r>
      <w:r>
        <w:rPr>
          <w:sz w:val="32"/>
          <w:szCs w:val="40"/>
        </w:rPr>
        <w:fldChar w:fldCharType="end"/>
      </w:r>
    </w:p>
    <w:p>
      <w:pPr>
        <w:pStyle w:val="23"/>
        <w:tabs>
          <w:tab w:val="right" w:leader="dot" w:pos="9628"/>
        </w:tabs>
        <w:rPr>
          <w:rFonts w:asciiTheme="minorHAnsi" w:hAnsiTheme="minorHAnsi" w:eastAsiaTheme="minorEastAsia" w:cstheme="minorBidi"/>
          <w:sz w:val="32"/>
          <w:szCs w:val="36"/>
        </w:rPr>
      </w:pPr>
      <w:r>
        <w:fldChar w:fldCharType="begin"/>
      </w:r>
      <w:r>
        <w:instrText xml:space="preserve"> HYPERLINK \l "_Toc27128617" </w:instrText>
      </w:r>
      <w:r>
        <w:fldChar w:fldCharType="separate"/>
      </w:r>
      <w:r>
        <w:rPr>
          <w:rStyle w:val="36"/>
          <w:b/>
          <w:bCs/>
          <w:color w:val="auto"/>
          <w:sz w:val="32"/>
          <w:szCs w:val="40"/>
        </w:rPr>
        <w:t>第二章谈判资料表</w:t>
      </w:r>
      <w:r>
        <w:rPr>
          <w:sz w:val="32"/>
          <w:szCs w:val="40"/>
        </w:rPr>
        <w:tab/>
      </w:r>
      <w:r>
        <w:rPr>
          <w:sz w:val="32"/>
          <w:szCs w:val="40"/>
        </w:rPr>
        <w:fldChar w:fldCharType="begin"/>
      </w:r>
      <w:r>
        <w:rPr>
          <w:sz w:val="32"/>
          <w:szCs w:val="40"/>
        </w:rPr>
        <w:instrText xml:space="preserve"> PAGEREF _Toc27128617 \h </w:instrText>
      </w:r>
      <w:r>
        <w:rPr>
          <w:sz w:val="32"/>
          <w:szCs w:val="40"/>
        </w:rPr>
        <w:fldChar w:fldCharType="separate"/>
      </w:r>
      <w:r>
        <w:rPr>
          <w:sz w:val="32"/>
          <w:szCs w:val="40"/>
        </w:rPr>
        <w:t>6</w:t>
      </w:r>
      <w:r>
        <w:rPr>
          <w:sz w:val="32"/>
          <w:szCs w:val="40"/>
        </w:rPr>
        <w:fldChar w:fldCharType="end"/>
      </w:r>
      <w:r>
        <w:rPr>
          <w:sz w:val="32"/>
          <w:szCs w:val="40"/>
        </w:rPr>
        <w:fldChar w:fldCharType="end"/>
      </w:r>
    </w:p>
    <w:p>
      <w:pPr>
        <w:pStyle w:val="23"/>
        <w:tabs>
          <w:tab w:val="right" w:leader="dot" w:pos="9628"/>
        </w:tabs>
        <w:rPr>
          <w:rFonts w:asciiTheme="minorHAnsi" w:hAnsiTheme="minorHAnsi" w:eastAsiaTheme="minorEastAsia" w:cstheme="minorBidi"/>
          <w:sz w:val="32"/>
          <w:szCs w:val="36"/>
        </w:rPr>
      </w:pPr>
      <w:r>
        <w:fldChar w:fldCharType="begin"/>
      </w:r>
      <w:r>
        <w:instrText xml:space="preserve"> HYPERLINK \l "_Toc27128618" </w:instrText>
      </w:r>
      <w:r>
        <w:fldChar w:fldCharType="separate"/>
      </w:r>
      <w:r>
        <w:rPr>
          <w:rStyle w:val="36"/>
          <w:b/>
          <w:bCs/>
          <w:color w:val="auto"/>
          <w:sz w:val="32"/>
          <w:szCs w:val="40"/>
        </w:rPr>
        <w:t>第三章评审标准</w:t>
      </w:r>
      <w:r>
        <w:rPr>
          <w:sz w:val="32"/>
          <w:szCs w:val="40"/>
        </w:rPr>
        <w:tab/>
      </w:r>
      <w:r>
        <w:rPr>
          <w:sz w:val="32"/>
          <w:szCs w:val="40"/>
        </w:rPr>
        <w:fldChar w:fldCharType="begin"/>
      </w:r>
      <w:r>
        <w:rPr>
          <w:sz w:val="32"/>
          <w:szCs w:val="40"/>
        </w:rPr>
        <w:instrText xml:space="preserve"> PAGEREF _Toc27128618 \h </w:instrText>
      </w:r>
      <w:r>
        <w:rPr>
          <w:sz w:val="32"/>
          <w:szCs w:val="40"/>
        </w:rPr>
        <w:fldChar w:fldCharType="separate"/>
      </w:r>
      <w:r>
        <w:rPr>
          <w:sz w:val="32"/>
          <w:szCs w:val="40"/>
        </w:rPr>
        <w:t>8</w:t>
      </w:r>
      <w:r>
        <w:rPr>
          <w:sz w:val="32"/>
          <w:szCs w:val="40"/>
        </w:rPr>
        <w:fldChar w:fldCharType="end"/>
      </w:r>
      <w:r>
        <w:rPr>
          <w:sz w:val="32"/>
          <w:szCs w:val="40"/>
        </w:rPr>
        <w:fldChar w:fldCharType="end"/>
      </w:r>
    </w:p>
    <w:p>
      <w:pPr>
        <w:pStyle w:val="23"/>
        <w:tabs>
          <w:tab w:val="right" w:leader="dot" w:pos="9628"/>
        </w:tabs>
        <w:rPr>
          <w:rFonts w:asciiTheme="minorHAnsi" w:hAnsiTheme="minorHAnsi" w:eastAsiaTheme="minorEastAsia" w:cstheme="minorBidi"/>
          <w:sz w:val="32"/>
          <w:szCs w:val="36"/>
        </w:rPr>
      </w:pPr>
      <w:r>
        <w:fldChar w:fldCharType="begin"/>
      </w:r>
      <w:r>
        <w:instrText xml:space="preserve"> HYPERLINK \l "_Toc27128619" </w:instrText>
      </w:r>
      <w:r>
        <w:fldChar w:fldCharType="separate"/>
      </w:r>
      <w:r>
        <w:rPr>
          <w:rStyle w:val="36"/>
          <w:b/>
          <w:bCs/>
          <w:color w:val="auto"/>
          <w:sz w:val="32"/>
          <w:szCs w:val="40"/>
        </w:rPr>
        <w:t>第四章用户需求书</w:t>
      </w:r>
      <w:r>
        <w:rPr>
          <w:sz w:val="32"/>
          <w:szCs w:val="40"/>
        </w:rPr>
        <w:tab/>
      </w:r>
      <w:r>
        <w:rPr>
          <w:sz w:val="32"/>
          <w:szCs w:val="40"/>
        </w:rPr>
        <w:fldChar w:fldCharType="begin"/>
      </w:r>
      <w:r>
        <w:rPr>
          <w:sz w:val="32"/>
          <w:szCs w:val="40"/>
        </w:rPr>
        <w:instrText xml:space="preserve"> PAGEREF _Toc27128619 \h </w:instrText>
      </w:r>
      <w:r>
        <w:rPr>
          <w:sz w:val="32"/>
          <w:szCs w:val="40"/>
        </w:rPr>
        <w:fldChar w:fldCharType="separate"/>
      </w:r>
      <w:r>
        <w:rPr>
          <w:sz w:val="32"/>
          <w:szCs w:val="40"/>
        </w:rPr>
        <w:t>11</w:t>
      </w:r>
      <w:r>
        <w:rPr>
          <w:sz w:val="32"/>
          <w:szCs w:val="40"/>
        </w:rPr>
        <w:fldChar w:fldCharType="end"/>
      </w:r>
      <w:r>
        <w:rPr>
          <w:sz w:val="32"/>
          <w:szCs w:val="40"/>
        </w:rPr>
        <w:fldChar w:fldCharType="end"/>
      </w:r>
    </w:p>
    <w:p>
      <w:pPr>
        <w:pStyle w:val="23"/>
        <w:tabs>
          <w:tab w:val="right" w:leader="dot" w:pos="9628"/>
        </w:tabs>
        <w:rPr>
          <w:rFonts w:asciiTheme="minorHAnsi" w:hAnsiTheme="minorHAnsi" w:eastAsiaTheme="minorEastAsia" w:cstheme="minorBidi"/>
          <w:sz w:val="32"/>
          <w:szCs w:val="36"/>
        </w:rPr>
      </w:pPr>
      <w:r>
        <w:fldChar w:fldCharType="begin"/>
      </w:r>
      <w:r>
        <w:instrText xml:space="preserve"> HYPERLINK \l "_Toc27128620" </w:instrText>
      </w:r>
      <w:r>
        <w:fldChar w:fldCharType="separate"/>
      </w:r>
      <w:r>
        <w:rPr>
          <w:rStyle w:val="36"/>
          <w:b/>
          <w:bCs/>
          <w:color w:val="auto"/>
          <w:sz w:val="32"/>
          <w:szCs w:val="40"/>
        </w:rPr>
        <w:t>第五章合同文本</w:t>
      </w:r>
      <w:r>
        <w:rPr>
          <w:sz w:val="32"/>
          <w:szCs w:val="40"/>
        </w:rPr>
        <w:tab/>
      </w:r>
      <w:r>
        <w:rPr>
          <w:sz w:val="32"/>
          <w:szCs w:val="40"/>
        </w:rPr>
        <w:fldChar w:fldCharType="begin"/>
      </w:r>
      <w:r>
        <w:rPr>
          <w:sz w:val="32"/>
          <w:szCs w:val="40"/>
        </w:rPr>
        <w:instrText xml:space="preserve"> PAGEREF _Toc27128620 \h </w:instrText>
      </w:r>
      <w:r>
        <w:rPr>
          <w:sz w:val="32"/>
          <w:szCs w:val="40"/>
        </w:rPr>
        <w:fldChar w:fldCharType="separate"/>
      </w:r>
      <w:r>
        <w:rPr>
          <w:sz w:val="32"/>
          <w:szCs w:val="40"/>
        </w:rPr>
        <w:t>13</w:t>
      </w:r>
      <w:r>
        <w:rPr>
          <w:sz w:val="32"/>
          <w:szCs w:val="40"/>
        </w:rPr>
        <w:fldChar w:fldCharType="end"/>
      </w:r>
      <w:r>
        <w:rPr>
          <w:sz w:val="32"/>
          <w:szCs w:val="40"/>
        </w:rPr>
        <w:fldChar w:fldCharType="end"/>
      </w:r>
    </w:p>
    <w:p>
      <w:pPr>
        <w:pStyle w:val="23"/>
        <w:tabs>
          <w:tab w:val="right" w:leader="dot" w:pos="9628"/>
        </w:tabs>
        <w:rPr>
          <w:rFonts w:asciiTheme="minorHAnsi" w:hAnsiTheme="minorHAnsi" w:eastAsiaTheme="minorEastAsia" w:cstheme="minorBidi"/>
          <w:sz w:val="32"/>
          <w:szCs w:val="36"/>
        </w:rPr>
      </w:pPr>
      <w:r>
        <w:fldChar w:fldCharType="begin"/>
      </w:r>
      <w:r>
        <w:instrText xml:space="preserve"> HYPERLINK \l "_Toc27128621" </w:instrText>
      </w:r>
      <w:r>
        <w:fldChar w:fldCharType="separate"/>
      </w:r>
      <w:r>
        <w:rPr>
          <w:rStyle w:val="36"/>
          <w:b/>
          <w:bCs/>
          <w:color w:val="auto"/>
          <w:sz w:val="32"/>
          <w:szCs w:val="40"/>
        </w:rPr>
        <w:t>第六章响应文件格式</w:t>
      </w:r>
      <w:r>
        <w:rPr>
          <w:sz w:val="32"/>
          <w:szCs w:val="40"/>
        </w:rPr>
        <w:tab/>
      </w:r>
      <w:r>
        <w:rPr>
          <w:sz w:val="32"/>
          <w:szCs w:val="40"/>
        </w:rPr>
        <w:fldChar w:fldCharType="begin"/>
      </w:r>
      <w:r>
        <w:rPr>
          <w:sz w:val="32"/>
          <w:szCs w:val="40"/>
        </w:rPr>
        <w:instrText xml:space="preserve"> PAGEREF _Toc27128621 \h </w:instrText>
      </w:r>
      <w:r>
        <w:rPr>
          <w:sz w:val="32"/>
          <w:szCs w:val="40"/>
        </w:rPr>
        <w:fldChar w:fldCharType="separate"/>
      </w:r>
      <w:r>
        <w:rPr>
          <w:sz w:val="32"/>
          <w:szCs w:val="40"/>
        </w:rPr>
        <w:t>16</w:t>
      </w:r>
      <w:r>
        <w:rPr>
          <w:sz w:val="32"/>
          <w:szCs w:val="40"/>
        </w:rPr>
        <w:fldChar w:fldCharType="end"/>
      </w:r>
      <w:r>
        <w:rPr>
          <w:sz w:val="32"/>
          <w:szCs w:val="40"/>
        </w:rPr>
        <w:fldChar w:fldCharType="end"/>
      </w:r>
    </w:p>
    <w:p>
      <w:pPr>
        <w:pStyle w:val="23"/>
        <w:tabs>
          <w:tab w:val="right" w:leader="dot" w:pos="9628"/>
        </w:tabs>
        <w:rPr>
          <w:rFonts w:asciiTheme="minorHAnsi" w:hAnsiTheme="minorHAnsi" w:eastAsiaTheme="minorEastAsia" w:cstheme="minorBidi"/>
          <w:sz w:val="32"/>
          <w:szCs w:val="36"/>
        </w:rPr>
      </w:pPr>
      <w:r>
        <w:fldChar w:fldCharType="begin"/>
      </w:r>
      <w:r>
        <w:instrText xml:space="preserve"> HYPERLINK \l "_Toc27128622" </w:instrText>
      </w:r>
      <w:r>
        <w:fldChar w:fldCharType="separate"/>
      </w:r>
      <w:r>
        <w:rPr>
          <w:rStyle w:val="36"/>
          <w:b/>
          <w:bCs/>
          <w:color w:val="auto"/>
          <w:sz w:val="32"/>
          <w:szCs w:val="40"/>
        </w:rPr>
        <w:t>第七章谈判须知</w:t>
      </w:r>
      <w:r>
        <w:rPr>
          <w:sz w:val="32"/>
          <w:szCs w:val="40"/>
        </w:rPr>
        <w:tab/>
      </w:r>
      <w:r>
        <w:rPr>
          <w:sz w:val="32"/>
          <w:szCs w:val="40"/>
        </w:rPr>
        <w:fldChar w:fldCharType="begin"/>
      </w:r>
      <w:r>
        <w:rPr>
          <w:sz w:val="32"/>
          <w:szCs w:val="40"/>
        </w:rPr>
        <w:instrText xml:space="preserve"> PAGEREF _Toc27128622 \h </w:instrText>
      </w:r>
      <w:r>
        <w:rPr>
          <w:sz w:val="32"/>
          <w:szCs w:val="40"/>
        </w:rPr>
        <w:fldChar w:fldCharType="separate"/>
      </w:r>
      <w:r>
        <w:rPr>
          <w:sz w:val="32"/>
          <w:szCs w:val="40"/>
        </w:rPr>
        <w:t>33</w:t>
      </w:r>
      <w:r>
        <w:rPr>
          <w:sz w:val="32"/>
          <w:szCs w:val="40"/>
        </w:rPr>
        <w:fldChar w:fldCharType="end"/>
      </w:r>
      <w:r>
        <w:rPr>
          <w:sz w:val="32"/>
          <w:szCs w:val="40"/>
        </w:rPr>
        <w:fldChar w:fldCharType="end"/>
      </w:r>
    </w:p>
    <w:p>
      <w:pPr>
        <w:autoSpaceDE w:val="0"/>
        <w:autoSpaceDN w:val="0"/>
        <w:adjustRightInd w:val="0"/>
        <w:snapToGrid w:val="0"/>
        <w:spacing w:beforeLines="50" w:afterLines="50" w:line="360" w:lineRule="auto"/>
        <w:jc w:val="left"/>
        <w:rPr>
          <w:rFonts w:cs="黑体"/>
          <w:b/>
          <w:bCs/>
          <w:kern w:val="0"/>
          <w:szCs w:val="21"/>
        </w:rPr>
      </w:pPr>
      <w:r>
        <w:rPr>
          <w:rStyle w:val="36"/>
          <w:rFonts w:hint="eastAsia" w:ascii="宋体" w:hAnsi="宋体"/>
          <w:color w:val="auto"/>
          <w:sz w:val="32"/>
          <w:szCs w:val="40"/>
        </w:rPr>
        <w:fldChar w:fldCharType="end"/>
      </w:r>
    </w:p>
    <w:p>
      <w:pPr>
        <w:snapToGrid w:val="0"/>
        <w:spacing w:line="360" w:lineRule="auto"/>
        <w:jc w:val="center"/>
        <w:outlineLvl w:val="0"/>
        <w:rPr>
          <w:rStyle w:val="36"/>
          <w:color w:val="auto"/>
        </w:rPr>
        <w:sectPr>
          <w:headerReference r:id="rId3" w:type="default"/>
          <w:footerReference r:id="rId4" w:type="default"/>
          <w:pgSz w:w="11906" w:h="16838"/>
          <w:pgMar w:top="1134" w:right="1134" w:bottom="1134" w:left="1134" w:header="851" w:footer="589" w:gutter="0"/>
          <w:pgNumType w:start="2"/>
          <w:cols w:space="425" w:num="1"/>
          <w:docGrid w:type="lines" w:linePitch="312" w:charSpace="0"/>
        </w:sectPr>
      </w:pPr>
    </w:p>
    <w:p>
      <w:pPr>
        <w:snapToGrid w:val="0"/>
        <w:spacing w:line="360" w:lineRule="auto"/>
        <w:jc w:val="center"/>
        <w:outlineLvl w:val="0"/>
        <w:rPr>
          <w:b/>
          <w:bCs/>
          <w:sz w:val="28"/>
          <w:szCs w:val="28"/>
        </w:rPr>
      </w:pPr>
      <w:bookmarkStart w:id="0" w:name="_Toc27128616"/>
      <w:r>
        <w:rPr>
          <w:rFonts w:hint="eastAsia"/>
          <w:b/>
          <w:bCs/>
          <w:sz w:val="28"/>
          <w:szCs w:val="28"/>
        </w:rPr>
        <w:t>第一</w:t>
      </w:r>
      <w:r>
        <w:rPr>
          <w:b/>
          <w:bCs/>
          <w:sz w:val="28"/>
          <w:szCs w:val="28"/>
        </w:rPr>
        <w:t>章</w:t>
      </w:r>
      <w:r>
        <w:rPr>
          <w:rFonts w:hint="eastAsia"/>
          <w:b/>
          <w:bCs/>
          <w:sz w:val="28"/>
          <w:szCs w:val="28"/>
        </w:rPr>
        <w:t>谈判</w:t>
      </w:r>
      <w:r>
        <w:rPr>
          <w:b/>
          <w:bCs/>
          <w:sz w:val="28"/>
          <w:szCs w:val="28"/>
        </w:rPr>
        <w:t>邀请</w:t>
      </w:r>
      <w:bookmarkEnd w:id="0"/>
    </w:p>
    <w:p>
      <w:pPr>
        <w:adjustRightInd w:val="0"/>
        <w:snapToGrid w:val="0"/>
        <w:spacing w:line="360" w:lineRule="auto"/>
        <w:ind w:firstLine="420" w:firstLineChars="200"/>
        <w:rPr>
          <w:rFonts w:ascii="宋体" w:hAnsi="宋体"/>
          <w:bCs/>
          <w:szCs w:val="21"/>
        </w:rPr>
      </w:pPr>
      <w:r>
        <w:rPr>
          <w:rFonts w:hint="eastAsia" w:ascii="宋体" w:hAnsi="宋体"/>
          <w:kern w:val="0"/>
          <w:szCs w:val="21"/>
        </w:rPr>
        <w:t>广东采联采购科技有限公司（</w:t>
      </w:r>
      <w:r>
        <w:rPr>
          <w:rFonts w:ascii="宋体" w:hAnsi="宋体"/>
          <w:kern w:val="0"/>
          <w:szCs w:val="21"/>
        </w:rPr>
        <w:t>以下简称</w:t>
      </w:r>
      <w:r>
        <w:rPr>
          <w:rFonts w:hint="eastAsia" w:ascii="宋体" w:hAnsi="宋体"/>
          <w:kern w:val="0"/>
          <w:szCs w:val="21"/>
        </w:rPr>
        <w:t>‘</w:t>
      </w:r>
      <w:r>
        <w:rPr>
          <w:rFonts w:ascii="宋体" w:hAnsi="宋体"/>
          <w:kern w:val="0"/>
          <w:szCs w:val="21"/>
        </w:rPr>
        <w:t>采购代理机构</w:t>
      </w:r>
      <w:r>
        <w:rPr>
          <w:rFonts w:hint="eastAsia" w:ascii="宋体" w:hAnsi="宋体"/>
          <w:kern w:val="0"/>
          <w:szCs w:val="21"/>
        </w:rPr>
        <w:t>’）</w:t>
      </w:r>
      <w:r>
        <w:rPr>
          <w:rFonts w:ascii="宋体" w:hAnsi="宋体"/>
          <w:kern w:val="0"/>
          <w:szCs w:val="21"/>
        </w:rPr>
        <w:t>受</w:t>
      </w:r>
      <w:r>
        <w:rPr>
          <w:rFonts w:hint="eastAsia" w:ascii="宋体" w:hAnsi="宋体"/>
          <w:kern w:val="0"/>
          <w:szCs w:val="21"/>
        </w:rPr>
        <w:t>国家税务总局深圳市罗湖区税务局</w:t>
      </w:r>
      <w:r>
        <w:rPr>
          <w:rFonts w:ascii="宋体" w:hAnsi="宋体"/>
          <w:bCs/>
          <w:szCs w:val="21"/>
        </w:rPr>
        <w:t>（以下简称</w:t>
      </w:r>
      <w:r>
        <w:rPr>
          <w:rFonts w:hint="eastAsia" w:ascii="宋体" w:hAnsi="宋体"/>
          <w:kern w:val="0"/>
          <w:szCs w:val="21"/>
        </w:rPr>
        <w:t>‘</w:t>
      </w:r>
      <w:r>
        <w:rPr>
          <w:rFonts w:ascii="宋体" w:hAnsi="宋体"/>
          <w:bCs/>
          <w:szCs w:val="21"/>
        </w:rPr>
        <w:t>采购人</w:t>
      </w:r>
      <w:r>
        <w:rPr>
          <w:rFonts w:hint="eastAsia" w:ascii="宋体" w:hAnsi="宋体"/>
          <w:kern w:val="0"/>
          <w:szCs w:val="21"/>
        </w:rPr>
        <w:t>’</w:t>
      </w:r>
      <w:r>
        <w:rPr>
          <w:rFonts w:ascii="宋体" w:hAnsi="宋体"/>
          <w:bCs/>
          <w:szCs w:val="21"/>
        </w:rPr>
        <w:t>）的委托</w:t>
      </w:r>
      <w:r>
        <w:rPr>
          <w:rFonts w:hint="eastAsia" w:ascii="宋体" w:hAnsi="宋体"/>
          <w:bCs/>
          <w:szCs w:val="21"/>
        </w:rPr>
        <w:t>，</w:t>
      </w:r>
      <w:r>
        <w:rPr>
          <w:rFonts w:hint="eastAsia" w:ascii="宋体" w:hAnsi="宋体"/>
          <w:bCs/>
          <w:szCs w:val="21"/>
          <w:lang w:val="zh-CN"/>
        </w:rPr>
        <w:t>拟</w:t>
      </w:r>
      <w:r>
        <w:rPr>
          <w:rFonts w:hint="eastAsia" w:ascii="宋体" w:hAnsi="宋体"/>
          <w:bCs/>
          <w:szCs w:val="21"/>
        </w:rPr>
        <w:t>对国家税务总局深圳市罗湖区税务局税收征管表格印制项目进行竞争性谈判采购，欢迎受到邀请的供应商参加。本项目将优先确定符合相应资格条件的自主创新产品、节能产品、环保产品供应商参加谈判。</w:t>
      </w:r>
    </w:p>
    <w:p>
      <w:pPr>
        <w:numPr>
          <w:ilvl w:val="0"/>
          <w:numId w:val="5"/>
        </w:numPr>
        <w:tabs>
          <w:tab w:val="left" w:pos="567"/>
          <w:tab w:val="clear" w:pos="1200"/>
        </w:tabs>
        <w:adjustRightInd w:val="0"/>
        <w:snapToGrid w:val="0"/>
        <w:spacing w:line="360" w:lineRule="auto"/>
        <w:ind w:left="426"/>
        <w:rPr>
          <w:rFonts w:ascii="宋体"/>
          <w:bCs/>
          <w:szCs w:val="20"/>
        </w:rPr>
      </w:pPr>
      <w:r>
        <w:rPr>
          <w:rFonts w:hint="eastAsia" w:ascii="宋体"/>
          <w:bCs/>
          <w:szCs w:val="20"/>
        </w:rPr>
        <w:t xml:space="preserve">采购项目编号：CLF0119SZ14QY80 </w:t>
      </w:r>
    </w:p>
    <w:p>
      <w:pPr>
        <w:numPr>
          <w:ilvl w:val="0"/>
          <w:numId w:val="5"/>
        </w:numPr>
        <w:tabs>
          <w:tab w:val="left" w:pos="567"/>
          <w:tab w:val="clear" w:pos="1200"/>
        </w:tabs>
        <w:adjustRightInd w:val="0"/>
        <w:snapToGrid w:val="0"/>
        <w:spacing w:line="360" w:lineRule="auto"/>
        <w:ind w:left="426"/>
        <w:rPr>
          <w:rFonts w:ascii="宋体"/>
          <w:bCs/>
          <w:szCs w:val="20"/>
        </w:rPr>
      </w:pPr>
      <w:r>
        <w:rPr>
          <w:rFonts w:hint="eastAsia" w:ascii="宋体"/>
          <w:bCs/>
          <w:szCs w:val="20"/>
        </w:rPr>
        <w:t>采购项目名称：</w:t>
      </w:r>
      <w:r>
        <w:rPr>
          <w:rFonts w:hint="eastAsia" w:ascii="宋体" w:hAnsi="宋体"/>
          <w:bCs/>
          <w:szCs w:val="21"/>
        </w:rPr>
        <w:t>国家税务总局深圳市罗湖区税务局税收征管表格印制项目</w:t>
      </w:r>
    </w:p>
    <w:p>
      <w:pPr>
        <w:numPr>
          <w:ilvl w:val="0"/>
          <w:numId w:val="5"/>
        </w:numPr>
        <w:tabs>
          <w:tab w:val="left" w:pos="567"/>
          <w:tab w:val="clear" w:pos="1200"/>
        </w:tabs>
        <w:adjustRightInd w:val="0"/>
        <w:snapToGrid w:val="0"/>
        <w:spacing w:line="360" w:lineRule="auto"/>
        <w:ind w:left="426"/>
        <w:rPr>
          <w:rFonts w:ascii="宋体"/>
          <w:bCs/>
          <w:szCs w:val="20"/>
        </w:rPr>
      </w:pPr>
      <w:r>
        <w:rPr>
          <w:rFonts w:hint="eastAsia" w:ascii="宋体"/>
          <w:bCs/>
          <w:szCs w:val="20"/>
        </w:rPr>
        <w:t>采购项目</w:t>
      </w:r>
      <w:r>
        <w:rPr>
          <w:rFonts w:hint="eastAsia"/>
        </w:rPr>
        <w:t>年度支付上限</w:t>
      </w:r>
      <w:r>
        <w:rPr>
          <w:rFonts w:hint="eastAsia" w:ascii="宋体"/>
          <w:bCs/>
          <w:szCs w:val="20"/>
        </w:rPr>
        <w:t>（元） ：人民币9</w:t>
      </w:r>
      <w:r>
        <w:rPr>
          <w:rFonts w:ascii="宋体"/>
          <w:bCs/>
          <w:szCs w:val="20"/>
        </w:rPr>
        <w:t>4</w:t>
      </w:r>
      <w:r>
        <w:rPr>
          <w:rFonts w:hint="eastAsia" w:ascii="宋体"/>
          <w:bCs/>
          <w:szCs w:val="20"/>
        </w:rPr>
        <w:t>万元</w:t>
      </w:r>
      <w:r>
        <w:rPr>
          <w:rFonts w:hint="eastAsia" w:ascii="宋体"/>
          <w:bCs/>
          <w:szCs w:val="21"/>
        </w:rPr>
        <w:t>；</w:t>
      </w:r>
    </w:p>
    <w:p>
      <w:pPr>
        <w:numPr>
          <w:ilvl w:val="0"/>
          <w:numId w:val="5"/>
        </w:numPr>
        <w:tabs>
          <w:tab w:val="left" w:pos="567"/>
          <w:tab w:val="clear" w:pos="1200"/>
        </w:tabs>
        <w:adjustRightInd w:val="0"/>
        <w:snapToGrid w:val="0"/>
        <w:spacing w:line="360" w:lineRule="auto"/>
        <w:ind w:left="426"/>
        <w:rPr>
          <w:rFonts w:ascii="宋体"/>
          <w:bCs/>
          <w:szCs w:val="20"/>
        </w:rPr>
      </w:pPr>
      <w:r>
        <w:rPr>
          <w:rFonts w:hint="eastAsia" w:ascii="宋体"/>
          <w:bCs/>
          <w:szCs w:val="20"/>
        </w:rPr>
        <w:t xml:space="preserve">采购数量 ：1项。     </w:t>
      </w:r>
    </w:p>
    <w:p>
      <w:pPr>
        <w:numPr>
          <w:ilvl w:val="0"/>
          <w:numId w:val="5"/>
        </w:numPr>
        <w:tabs>
          <w:tab w:val="left" w:pos="567"/>
          <w:tab w:val="clear" w:pos="1200"/>
        </w:tabs>
        <w:adjustRightInd w:val="0"/>
        <w:snapToGrid w:val="0"/>
        <w:spacing w:line="360" w:lineRule="auto"/>
        <w:ind w:left="426"/>
        <w:rPr>
          <w:rFonts w:ascii="宋体"/>
          <w:bCs/>
          <w:szCs w:val="20"/>
        </w:rPr>
      </w:pPr>
      <w:r>
        <w:rPr>
          <w:rFonts w:hint="eastAsia" w:ascii="宋体"/>
          <w:bCs/>
          <w:szCs w:val="20"/>
        </w:rPr>
        <w:t>项目内容及需求(采购项目技术规格、参数及要求，需要落实的政府采购政策) ：</w:t>
      </w:r>
    </w:p>
    <w:p>
      <w:pPr>
        <w:numPr>
          <w:ilvl w:val="1"/>
          <w:numId w:val="5"/>
        </w:numPr>
        <w:tabs>
          <w:tab w:val="left" w:pos="567"/>
        </w:tabs>
        <w:adjustRightInd w:val="0"/>
        <w:snapToGrid w:val="0"/>
        <w:spacing w:line="360" w:lineRule="auto"/>
        <w:ind w:hanging="1478"/>
        <w:rPr>
          <w:rFonts w:ascii="宋体" w:hAnsi="宋体"/>
          <w:bCs/>
          <w:szCs w:val="20"/>
        </w:rPr>
      </w:pPr>
      <w:bookmarkStart w:id="1" w:name="_Hlk27406390"/>
      <w:r>
        <w:rPr>
          <w:rFonts w:hint="eastAsia" w:ascii="宋体"/>
          <w:bCs/>
          <w:szCs w:val="20"/>
        </w:rPr>
        <w:t>采购项目内容及最高限价：</w:t>
      </w:r>
      <w:r>
        <w:rPr>
          <w:rFonts w:hint="eastAsia" w:ascii="宋体" w:hAnsi="宋体"/>
          <w:bCs/>
          <w:szCs w:val="20"/>
        </w:rPr>
        <w:t>国家税务总局深圳市罗湖区税务局税收征管表格印制，包含采购人需要</w:t>
      </w:r>
    </w:p>
    <w:p>
      <w:pPr>
        <w:tabs>
          <w:tab w:val="left" w:pos="567"/>
        </w:tabs>
        <w:adjustRightInd w:val="0"/>
        <w:snapToGrid w:val="0"/>
        <w:spacing w:line="360" w:lineRule="auto"/>
        <w:ind w:left="630" w:leftChars="300"/>
        <w:rPr>
          <w:rFonts w:ascii="宋体" w:hAnsi="宋体"/>
          <w:bCs/>
          <w:szCs w:val="20"/>
        </w:rPr>
      </w:pPr>
      <w:r>
        <w:rPr>
          <w:rFonts w:hint="eastAsia" w:ascii="宋体" w:hAnsi="宋体"/>
          <w:bCs/>
          <w:szCs w:val="20"/>
        </w:rPr>
        <w:t>印制的不同类型和数量的征管表格、资料袋、采购人指定印刷的其他纸质文件、不干胶条形码等； 年度支付上限：人民币94万元。</w:t>
      </w:r>
    </w:p>
    <w:p>
      <w:pPr>
        <w:numPr>
          <w:ilvl w:val="1"/>
          <w:numId w:val="5"/>
        </w:numPr>
        <w:tabs>
          <w:tab w:val="left" w:pos="567"/>
        </w:tabs>
        <w:adjustRightInd w:val="0"/>
        <w:snapToGrid w:val="0"/>
        <w:spacing w:line="360" w:lineRule="auto"/>
        <w:ind w:hanging="1478"/>
        <w:rPr>
          <w:rFonts w:ascii="宋体"/>
          <w:bCs/>
          <w:szCs w:val="20"/>
        </w:rPr>
      </w:pPr>
      <w:r>
        <w:rPr>
          <w:rFonts w:hint="eastAsia" w:ascii="宋体"/>
          <w:bCs/>
          <w:szCs w:val="20"/>
        </w:rPr>
        <w:t>项目编号：CLF0119SZ14QY80</w:t>
      </w:r>
    </w:p>
    <w:p>
      <w:pPr>
        <w:numPr>
          <w:ilvl w:val="1"/>
          <w:numId w:val="5"/>
        </w:numPr>
        <w:tabs>
          <w:tab w:val="left" w:pos="567"/>
        </w:tabs>
        <w:adjustRightInd w:val="0"/>
        <w:snapToGrid w:val="0"/>
        <w:spacing w:line="360" w:lineRule="auto"/>
        <w:ind w:hanging="1478"/>
        <w:rPr>
          <w:rFonts w:ascii="宋体"/>
          <w:bCs/>
          <w:szCs w:val="20"/>
        </w:rPr>
      </w:pPr>
      <w:r>
        <w:rPr>
          <w:rFonts w:hint="eastAsia" w:ascii="宋体"/>
          <w:bCs/>
          <w:szCs w:val="20"/>
        </w:rPr>
        <w:t>项目基本概况介绍：国家税务总局深圳市罗湖区税务局税收征管表格印制项目</w:t>
      </w:r>
    </w:p>
    <w:p>
      <w:pPr>
        <w:numPr>
          <w:ilvl w:val="1"/>
          <w:numId w:val="5"/>
        </w:numPr>
        <w:tabs>
          <w:tab w:val="left" w:pos="567"/>
        </w:tabs>
        <w:adjustRightInd w:val="0"/>
        <w:snapToGrid w:val="0"/>
        <w:spacing w:line="360" w:lineRule="auto"/>
        <w:ind w:hanging="1478"/>
        <w:rPr>
          <w:rFonts w:ascii="宋体"/>
          <w:bCs/>
          <w:szCs w:val="20"/>
        </w:rPr>
      </w:pPr>
      <w:r>
        <w:rPr>
          <w:rFonts w:hint="eastAsia" w:ascii="宋体"/>
          <w:bCs/>
          <w:szCs w:val="20"/>
        </w:rPr>
        <w:t>采购人的具体采购需求:详见谈判文件中的“用户需求书”</w:t>
      </w:r>
    </w:p>
    <w:p>
      <w:pPr>
        <w:numPr>
          <w:ilvl w:val="1"/>
          <w:numId w:val="5"/>
        </w:numPr>
        <w:tabs>
          <w:tab w:val="left" w:pos="567"/>
        </w:tabs>
        <w:adjustRightInd w:val="0"/>
        <w:snapToGrid w:val="0"/>
        <w:spacing w:line="360" w:lineRule="auto"/>
        <w:ind w:hanging="1478"/>
        <w:rPr>
          <w:rFonts w:ascii="宋体"/>
          <w:bCs/>
          <w:szCs w:val="20"/>
        </w:rPr>
      </w:pPr>
      <w:r>
        <w:rPr>
          <w:rFonts w:hint="eastAsia" w:ascii="宋体"/>
          <w:bCs/>
          <w:szCs w:val="20"/>
        </w:rPr>
        <w:t>本项目采购本国产品。</w:t>
      </w:r>
    </w:p>
    <w:p>
      <w:pPr>
        <w:numPr>
          <w:ilvl w:val="1"/>
          <w:numId w:val="5"/>
        </w:numPr>
        <w:tabs>
          <w:tab w:val="left" w:pos="567"/>
        </w:tabs>
        <w:adjustRightInd w:val="0"/>
        <w:snapToGrid w:val="0"/>
        <w:spacing w:line="360" w:lineRule="auto"/>
        <w:ind w:hanging="1478"/>
        <w:rPr>
          <w:rFonts w:ascii="宋体"/>
          <w:bCs/>
          <w:szCs w:val="20"/>
        </w:rPr>
      </w:pPr>
      <w:r>
        <w:rPr>
          <w:rFonts w:hint="eastAsia" w:ascii="宋体"/>
          <w:bCs/>
          <w:szCs w:val="20"/>
        </w:rPr>
        <w:t>本项目属于《国家税务总局深圳市税务局目录外分散采购限额标准下采购事项管理办法》（深税</w:t>
      </w:r>
    </w:p>
    <w:p>
      <w:pPr>
        <w:tabs>
          <w:tab w:val="left" w:pos="567"/>
          <w:tab w:val="left" w:pos="1620"/>
        </w:tabs>
        <w:adjustRightInd w:val="0"/>
        <w:snapToGrid w:val="0"/>
        <w:spacing w:line="360" w:lineRule="auto"/>
        <w:ind w:left="142" w:firstLine="420" w:firstLineChars="200"/>
        <w:rPr>
          <w:rFonts w:ascii="宋体"/>
          <w:bCs/>
          <w:szCs w:val="20"/>
        </w:rPr>
      </w:pPr>
      <w:r>
        <w:rPr>
          <w:rFonts w:hint="eastAsia" w:ascii="宋体"/>
          <w:bCs/>
          <w:szCs w:val="20"/>
        </w:rPr>
        <w:t xml:space="preserve">[2019]5号）的采购项目。 </w:t>
      </w:r>
    </w:p>
    <w:p>
      <w:pPr>
        <w:numPr>
          <w:ilvl w:val="1"/>
          <w:numId w:val="5"/>
        </w:numPr>
        <w:tabs>
          <w:tab w:val="left" w:pos="567"/>
        </w:tabs>
        <w:adjustRightInd w:val="0"/>
        <w:snapToGrid w:val="0"/>
        <w:spacing w:line="360" w:lineRule="auto"/>
        <w:ind w:hanging="1478"/>
        <w:rPr>
          <w:rFonts w:ascii="宋体"/>
          <w:bCs/>
          <w:szCs w:val="20"/>
        </w:rPr>
      </w:pPr>
      <w:r>
        <w:rPr>
          <w:rFonts w:hint="eastAsia" w:ascii="宋体"/>
          <w:bCs/>
          <w:szCs w:val="20"/>
        </w:rPr>
        <w:t>监管部门：</w:t>
      </w:r>
      <w:r>
        <w:rPr>
          <w:rFonts w:hint="eastAsia" w:ascii="宋体"/>
          <w:bCs/>
          <w:kern w:val="0"/>
          <w:szCs w:val="20"/>
        </w:rPr>
        <w:t>采购人的上级主管部门或采购人的纪检部门。</w:t>
      </w:r>
    </w:p>
    <w:p>
      <w:pPr>
        <w:numPr>
          <w:ilvl w:val="1"/>
          <w:numId w:val="5"/>
        </w:numPr>
        <w:tabs>
          <w:tab w:val="left" w:pos="567"/>
          <w:tab w:val="clear" w:pos="1620"/>
        </w:tabs>
        <w:adjustRightInd w:val="0"/>
        <w:snapToGrid w:val="0"/>
        <w:spacing w:line="360" w:lineRule="auto"/>
        <w:ind w:left="567" w:hanging="425"/>
        <w:rPr>
          <w:rFonts w:ascii="宋体"/>
          <w:bCs/>
          <w:szCs w:val="20"/>
        </w:rPr>
      </w:pPr>
      <w:r>
        <w:rPr>
          <w:rFonts w:hint="eastAsia" w:ascii="宋体"/>
          <w:bCs/>
          <w:szCs w:val="20"/>
        </w:rPr>
        <w:t>需要落实的政府采购政策：《政府采购促进中小企业发展暂行办法》（财库〔2011〕181号）、《关于政府采购支持监狱企业发展有关问题的通知》(财库〔2014〕68号)、</w:t>
      </w:r>
      <w:r>
        <w:rPr>
          <w:rFonts w:hint="eastAsia" w:ascii="宋体" w:hAnsi="宋体"/>
          <w:bCs/>
        </w:rPr>
        <w:t>《关于促进残疾人就业政府采购政策的通知》（财库〔2017〕141</w:t>
      </w:r>
      <w:r>
        <w:rPr>
          <w:rFonts w:hint="eastAsia" w:ascii="宋体"/>
          <w:bCs/>
          <w:szCs w:val="20"/>
        </w:rPr>
        <w:t>号)、《关于环境标志产品政府采购实施的意见》（财库〔2006〕90号、《节能产品政府采购实施意见》的通知（财库〔2004〕185号）。</w:t>
      </w:r>
    </w:p>
    <w:bookmarkEnd w:id="1"/>
    <w:p>
      <w:pPr>
        <w:numPr>
          <w:ilvl w:val="0"/>
          <w:numId w:val="5"/>
        </w:numPr>
        <w:tabs>
          <w:tab w:val="left" w:pos="567"/>
          <w:tab w:val="clear" w:pos="1200"/>
        </w:tabs>
        <w:adjustRightInd w:val="0"/>
        <w:snapToGrid w:val="0"/>
        <w:spacing w:line="360" w:lineRule="auto"/>
        <w:ind w:left="426"/>
        <w:rPr>
          <w:rFonts w:ascii="宋体"/>
          <w:bCs/>
          <w:szCs w:val="20"/>
        </w:rPr>
      </w:pPr>
      <w:r>
        <w:rPr>
          <w:rFonts w:hint="eastAsia" w:ascii="宋体"/>
          <w:bCs/>
          <w:szCs w:val="20"/>
        </w:rPr>
        <w:t>供应商资格：</w:t>
      </w:r>
    </w:p>
    <w:p>
      <w:pPr>
        <w:numPr>
          <w:ilvl w:val="1"/>
          <w:numId w:val="6"/>
        </w:numPr>
        <w:tabs>
          <w:tab w:val="left" w:pos="567"/>
          <w:tab w:val="left" w:pos="1620"/>
        </w:tabs>
        <w:adjustRightInd w:val="0"/>
        <w:snapToGrid w:val="0"/>
        <w:spacing w:line="360" w:lineRule="auto"/>
        <w:ind w:left="567" w:hanging="425"/>
        <w:rPr>
          <w:rFonts w:ascii="宋体" w:hAnsi="宋体"/>
          <w:bCs/>
          <w:szCs w:val="20"/>
        </w:rPr>
      </w:pPr>
      <w:r>
        <w:rPr>
          <w:rFonts w:hint="eastAsia" w:ascii="宋体" w:hAnsi="宋体"/>
          <w:bCs/>
          <w:szCs w:val="20"/>
        </w:rPr>
        <w:t>供应商应具备《政府采购法》第二十二条规定的条件：</w:t>
      </w:r>
    </w:p>
    <w:p>
      <w:pPr>
        <w:numPr>
          <w:ilvl w:val="1"/>
          <w:numId w:val="6"/>
        </w:numPr>
        <w:tabs>
          <w:tab w:val="left" w:pos="1620"/>
        </w:tabs>
        <w:adjustRightInd w:val="0"/>
        <w:snapToGrid w:val="0"/>
        <w:spacing w:line="360" w:lineRule="auto"/>
        <w:ind w:left="567" w:hanging="425"/>
        <w:rPr>
          <w:bCs/>
          <w:szCs w:val="21"/>
        </w:rPr>
      </w:pPr>
      <w:r>
        <w:rPr>
          <w:rFonts w:hint="eastAsia"/>
          <w:bCs/>
          <w:szCs w:val="21"/>
        </w:rPr>
        <w:t>为采购项目提供整体设计、规范编制或者项目管理、监理、检测等服务的供应商，不得再参加该采购项目包组的其他采购活动。（提供《</w:t>
      </w:r>
      <w:r>
        <w:rPr>
          <w:rFonts w:hint="eastAsia" w:ascii="宋体" w:hAnsi="宋体"/>
          <w:szCs w:val="21"/>
        </w:rPr>
        <w:t>响应供应商资格声明函</w:t>
      </w:r>
      <w:r>
        <w:rPr>
          <w:rFonts w:hint="eastAsia"/>
          <w:bCs/>
          <w:szCs w:val="21"/>
        </w:rPr>
        <w:t>》）</w:t>
      </w:r>
    </w:p>
    <w:p>
      <w:pPr>
        <w:numPr>
          <w:ilvl w:val="1"/>
          <w:numId w:val="6"/>
        </w:numPr>
        <w:tabs>
          <w:tab w:val="left" w:pos="1620"/>
        </w:tabs>
        <w:adjustRightInd w:val="0"/>
        <w:snapToGrid w:val="0"/>
        <w:spacing w:line="360" w:lineRule="auto"/>
        <w:ind w:left="567" w:hanging="425"/>
        <w:rPr>
          <w:bCs/>
          <w:szCs w:val="21"/>
        </w:rPr>
      </w:pPr>
      <w:r>
        <w:rPr>
          <w:rFonts w:hint="eastAsia"/>
          <w:bCs/>
          <w:szCs w:val="21"/>
        </w:rPr>
        <w:t>单位负责人为同一人或者存在直接控股、管理关系的不同供应商，不得参加同一合同项下的政府采购活动。（提供《响应供应商资格声明函》）。</w:t>
      </w:r>
    </w:p>
    <w:p>
      <w:pPr>
        <w:numPr>
          <w:ilvl w:val="1"/>
          <w:numId w:val="6"/>
        </w:numPr>
        <w:tabs>
          <w:tab w:val="left" w:pos="567"/>
          <w:tab w:val="left" w:pos="1620"/>
        </w:tabs>
        <w:adjustRightInd w:val="0"/>
        <w:snapToGrid w:val="0"/>
        <w:spacing w:line="360" w:lineRule="auto"/>
        <w:ind w:left="567" w:hanging="425"/>
        <w:rPr>
          <w:bCs/>
          <w:szCs w:val="21"/>
        </w:rPr>
      </w:pPr>
      <w:r>
        <w:rPr>
          <w:rFonts w:hint="eastAsia" w:ascii="宋体" w:hAnsi="宋体"/>
          <w:szCs w:val="21"/>
        </w:rPr>
        <w:t>在本项目投标截止时间前响应供应商未被列入“信用中国”网站(www.creditchina.gov.cn)以下任一记录名单之一：①失信被执行人；②重大税收违法案件当事人名单。同时，不处于中国政府采购网(www.ccgp.gov.cn)“政府采购严重违法失信行为信息记录”中的禁止参加政府采购活动期间。（</w:t>
      </w:r>
      <w:r>
        <w:rPr>
          <w:rFonts w:hint="eastAsia" w:ascii="宋体" w:hAnsi="宋体" w:cs="宋体"/>
        </w:rPr>
        <w:t>说明：1）、</w:t>
      </w:r>
      <w:r>
        <w:rPr>
          <w:rFonts w:hint="eastAsia" w:ascii="宋体" w:hAnsi="宋体"/>
          <w:szCs w:val="21"/>
        </w:rPr>
        <w:t>由负责资格性审查人员于投标截止日在“信用中国”网站（www.creditchina.gov.cn）及中国政府采购网(www.ccgp.gov.cn)查询结果为准。2</w:t>
      </w:r>
      <w:r>
        <w:rPr>
          <w:rFonts w:hint="eastAsia" w:ascii="宋体" w:hAnsi="宋体" w:cs="宋体"/>
        </w:rPr>
        <w:t>）、采购代理机构同时对信用信息查询记录和证据截图或下载存档。</w:t>
      </w:r>
    </w:p>
    <w:p>
      <w:pPr>
        <w:numPr>
          <w:ilvl w:val="1"/>
          <w:numId w:val="6"/>
        </w:numPr>
        <w:tabs>
          <w:tab w:val="left" w:pos="1620"/>
        </w:tabs>
        <w:adjustRightInd w:val="0"/>
        <w:snapToGrid w:val="0"/>
        <w:spacing w:line="360" w:lineRule="auto"/>
        <w:ind w:left="567" w:hanging="425"/>
        <w:rPr>
          <w:bCs/>
          <w:szCs w:val="21"/>
        </w:rPr>
      </w:pPr>
      <w:r>
        <w:rPr>
          <w:rFonts w:hint="eastAsia"/>
          <w:bCs/>
          <w:szCs w:val="21"/>
        </w:rPr>
        <w:t>已成功购买本纸质谈判文件的供应商。</w:t>
      </w:r>
    </w:p>
    <w:p>
      <w:pPr>
        <w:numPr>
          <w:ilvl w:val="1"/>
          <w:numId w:val="6"/>
        </w:numPr>
        <w:tabs>
          <w:tab w:val="left" w:pos="1620"/>
        </w:tabs>
        <w:adjustRightInd w:val="0"/>
        <w:snapToGrid w:val="0"/>
        <w:spacing w:line="360" w:lineRule="auto"/>
        <w:ind w:left="567" w:hanging="425"/>
        <w:rPr>
          <w:bCs/>
          <w:szCs w:val="21"/>
        </w:rPr>
      </w:pPr>
      <w:r>
        <w:rPr>
          <w:rFonts w:hint="eastAsia"/>
          <w:bCs/>
          <w:szCs w:val="21"/>
        </w:rPr>
        <w:t>响应供应商需提供《谈判邀请函》。</w:t>
      </w:r>
    </w:p>
    <w:p>
      <w:pPr>
        <w:numPr>
          <w:ilvl w:val="1"/>
          <w:numId w:val="6"/>
        </w:numPr>
        <w:tabs>
          <w:tab w:val="left" w:pos="1620"/>
        </w:tabs>
        <w:adjustRightInd w:val="0"/>
        <w:snapToGrid w:val="0"/>
        <w:spacing w:line="360" w:lineRule="auto"/>
        <w:ind w:left="567" w:hanging="425"/>
        <w:rPr>
          <w:rFonts w:ascii="宋体" w:hAnsi="宋体"/>
          <w:szCs w:val="21"/>
        </w:rPr>
      </w:pPr>
      <w:r>
        <w:rPr>
          <w:rFonts w:hint="eastAsia"/>
          <w:bCs/>
          <w:szCs w:val="21"/>
        </w:rPr>
        <w:t>本项目不接受联合体投标。</w:t>
      </w:r>
    </w:p>
    <w:p>
      <w:pPr>
        <w:adjustRightInd w:val="0"/>
        <w:snapToGrid w:val="0"/>
        <w:spacing w:line="360" w:lineRule="auto"/>
        <w:rPr>
          <w:szCs w:val="21"/>
          <w:u w:val="double"/>
        </w:rPr>
      </w:pPr>
      <w:r>
        <w:rPr>
          <w:rFonts w:hint="eastAsia" w:ascii="宋体" w:hAnsi="宋体"/>
          <w:b/>
        </w:rPr>
        <w:t>说明：获取谈判文件：</w:t>
      </w:r>
    </w:p>
    <w:p>
      <w:pPr>
        <w:pStyle w:val="63"/>
        <w:numPr>
          <w:ilvl w:val="0"/>
          <w:numId w:val="7"/>
        </w:numPr>
        <w:tabs>
          <w:tab w:val="left" w:pos="567"/>
        </w:tabs>
        <w:adjustRightInd w:val="0"/>
        <w:snapToGrid w:val="0"/>
        <w:spacing w:line="360" w:lineRule="auto"/>
        <w:ind w:left="987" w:hanging="987" w:firstLineChars="0"/>
        <w:rPr>
          <w:rFonts w:ascii="宋体" w:hAnsi="宋体" w:eastAsia="宋体"/>
          <w:bCs w:val="0"/>
          <w:sz w:val="21"/>
          <w:szCs w:val="21"/>
        </w:rPr>
      </w:pPr>
      <w:r>
        <w:rPr>
          <w:rFonts w:hint="eastAsia" w:ascii="宋体" w:hAnsi="宋体" w:eastAsia="宋体"/>
          <w:sz w:val="21"/>
          <w:szCs w:val="21"/>
        </w:rPr>
        <w:t>获取方式：</w:t>
      </w:r>
    </w:p>
    <w:p>
      <w:pPr>
        <w:pStyle w:val="63"/>
        <w:numPr>
          <w:ilvl w:val="0"/>
          <w:numId w:val="8"/>
        </w:numPr>
        <w:adjustRightInd w:val="0"/>
        <w:snapToGrid w:val="0"/>
        <w:spacing w:line="360" w:lineRule="auto"/>
        <w:ind w:left="709" w:hanging="562" w:firstLineChars="0"/>
        <w:rPr>
          <w:rFonts w:ascii="宋体" w:hAnsi="宋体" w:eastAsia="宋体"/>
          <w:bCs w:val="0"/>
          <w:sz w:val="21"/>
          <w:szCs w:val="21"/>
        </w:rPr>
      </w:pPr>
      <w:r>
        <w:rPr>
          <w:rFonts w:hint="eastAsia" w:ascii="宋体" w:hAnsi="宋体" w:eastAsia="宋体"/>
          <w:sz w:val="21"/>
          <w:szCs w:val="21"/>
        </w:rPr>
        <w:t>供应商应携带填写好的《采购文件领购登记表》（可在采购代理机构网站（</w:t>
      </w:r>
      <w:r>
        <w:fldChar w:fldCharType="begin"/>
      </w:r>
      <w:r>
        <w:instrText xml:space="preserve"> HYPERLINK "http://www.chinapsp.cn" </w:instrText>
      </w:r>
      <w:r>
        <w:fldChar w:fldCharType="separate"/>
      </w:r>
      <w:r>
        <w:rPr>
          <w:rStyle w:val="36"/>
          <w:rFonts w:hint="eastAsia" w:ascii="宋体" w:hAnsi="宋体"/>
          <w:color w:val="auto"/>
          <w:sz w:val="21"/>
          <w:szCs w:val="21"/>
        </w:rPr>
        <w:t>www.chinapsp.cn</w:t>
      </w:r>
      <w:r>
        <w:rPr>
          <w:rStyle w:val="36"/>
          <w:rFonts w:hint="eastAsia" w:ascii="宋体" w:hAnsi="宋体"/>
          <w:color w:val="auto"/>
          <w:sz w:val="21"/>
          <w:szCs w:val="21"/>
        </w:rPr>
        <w:fldChar w:fldCharType="end"/>
      </w:r>
      <w:r>
        <w:rPr>
          <w:rFonts w:hint="eastAsia" w:ascii="宋体" w:hAnsi="宋体" w:eastAsia="宋体"/>
          <w:sz w:val="21"/>
          <w:szCs w:val="21"/>
        </w:rPr>
        <w:t>）中“下载中心”下载）加盖供应商单位公章后，至广东采联采购科技有限公司（详细地址：深圳市福田区竹子林中国经贸大厦10A、B广东采联采购科技有限公司深圳分公司）进行购买，缴纳标书款后即为成功获取纸质谈判文件。</w:t>
      </w:r>
    </w:p>
    <w:p>
      <w:pPr>
        <w:pStyle w:val="27"/>
        <w:widowControl w:val="0"/>
        <w:numPr>
          <w:ilvl w:val="0"/>
          <w:numId w:val="6"/>
        </w:numPr>
        <w:tabs>
          <w:tab w:val="left" w:pos="567"/>
          <w:tab w:val="left" w:pos="1200"/>
        </w:tabs>
        <w:adjustRightInd w:val="0"/>
        <w:snapToGrid w:val="0"/>
        <w:spacing w:before="0" w:beforeAutospacing="0" w:after="0" w:afterAutospacing="0" w:line="360" w:lineRule="auto"/>
        <w:ind w:left="567" w:hanging="567"/>
        <w:jc w:val="both"/>
        <w:rPr>
          <w:bCs/>
          <w:sz w:val="21"/>
          <w:szCs w:val="21"/>
        </w:rPr>
      </w:pPr>
      <w:r>
        <w:rPr>
          <w:rFonts w:hint="eastAsia" w:ascii="仿宋_GB2312"/>
          <w:sz w:val="21"/>
          <w:szCs w:val="21"/>
        </w:rPr>
        <w:t>符合资格的供应商应</w:t>
      </w:r>
      <w:r>
        <w:rPr>
          <w:rFonts w:hint="eastAsia"/>
          <w:sz w:val="21"/>
          <w:szCs w:val="21"/>
        </w:rPr>
        <w:t>当在</w:t>
      </w:r>
      <w:r>
        <w:rPr>
          <w:rFonts w:hint="eastAsia"/>
          <w:bCs/>
          <w:sz w:val="21"/>
          <w:szCs w:val="21"/>
        </w:rPr>
        <w:t>2019年</w:t>
      </w:r>
      <w:r>
        <w:rPr>
          <w:bCs/>
          <w:sz w:val="21"/>
          <w:szCs w:val="21"/>
        </w:rPr>
        <w:t>12</w:t>
      </w:r>
      <w:r>
        <w:rPr>
          <w:rFonts w:hint="eastAsia"/>
          <w:bCs/>
          <w:sz w:val="21"/>
          <w:szCs w:val="21"/>
        </w:rPr>
        <w:t>月</w:t>
      </w:r>
      <w:r>
        <w:rPr>
          <w:bCs/>
          <w:sz w:val="21"/>
          <w:szCs w:val="21"/>
        </w:rPr>
        <w:t>16</w:t>
      </w:r>
      <w:r>
        <w:rPr>
          <w:rFonts w:hint="eastAsia"/>
          <w:bCs/>
          <w:sz w:val="21"/>
          <w:szCs w:val="21"/>
        </w:rPr>
        <w:t>日至2019年</w:t>
      </w:r>
      <w:r>
        <w:rPr>
          <w:bCs/>
          <w:sz w:val="21"/>
          <w:szCs w:val="21"/>
        </w:rPr>
        <w:t>12</w:t>
      </w:r>
      <w:r>
        <w:rPr>
          <w:rFonts w:hint="eastAsia"/>
          <w:bCs/>
          <w:sz w:val="21"/>
          <w:szCs w:val="21"/>
        </w:rPr>
        <w:t>月</w:t>
      </w:r>
      <w:r>
        <w:rPr>
          <w:bCs/>
          <w:sz w:val="21"/>
          <w:szCs w:val="21"/>
        </w:rPr>
        <w:t>20</w:t>
      </w:r>
      <w:r>
        <w:rPr>
          <w:rFonts w:hint="eastAsia"/>
          <w:bCs/>
          <w:sz w:val="21"/>
          <w:szCs w:val="21"/>
        </w:rPr>
        <w:t>日</w:t>
      </w:r>
      <w:r>
        <w:rPr>
          <w:rFonts w:hint="eastAsia"/>
          <w:sz w:val="21"/>
          <w:szCs w:val="21"/>
        </w:rPr>
        <w:t>期间（</w:t>
      </w:r>
      <w:r>
        <w:rPr>
          <w:rFonts w:hint="eastAsia"/>
          <w:bCs/>
          <w:sz w:val="21"/>
          <w:szCs w:val="21"/>
        </w:rPr>
        <w:t>上午09:00至12:00,下午14:30至17:30，</w:t>
      </w:r>
      <w:r>
        <w:rPr>
          <w:rFonts w:hint="eastAsia"/>
          <w:sz w:val="21"/>
          <w:szCs w:val="21"/>
        </w:rPr>
        <w:t>法定节假日除外，</w:t>
      </w:r>
      <w:r>
        <w:rPr>
          <w:rFonts w:hint="eastAsia"/>
          <w:bCs/>
          <w:sz w:val="21"/>
          <w:szCs w:val="21"/>
        </w:rPr>
        <w:t>不少于5个工作日</w:t>
      </w:r>
      <w:r>
        <w:rPr>
          <w:rFonts w:hint="eastAsia"/>
          <w:sz w:val="21"/>
          <w:szCs w:val="21"/>
        </w:rPr>
        <w:t>）到</w:t>
      </w:r>
      <w:r>
        <w:rPr>
          <w:rFonts w:hint="eastAsia"/>
          <w:bCs/>
          <w:sz w:val="21"/>
          <w:szCs w:val="21"/>
        </w:rPr>
        <w:t>广东采联采购科技有限公司（详细地址：详见上述谈判文件获取方式的地址）</w:t>
      </w:r>
      <w:r>
        <w:rPr>
          <w:rFonts w:hint="eastAsia"/>
          <w:sz w:val="21"/>
          <w:szCs w:val="21"/>
        </w:rPr>
        <w:t>购买谈判文件，谈判文件每套售价 人民币600.00元（人民币），售后不退。</w:t>
      </w:r>
    </w:p>
    <w:p>
      <w:pPr>
        <w:numPr>
          <w:ilvl w:val="0"/>
          <w:numId w:val="6"/>
        </w:numPr>
        <w:tabs>
          <w:tab w:val="left" w:pos="567"/>
          <w:tab w:val="left" w:pos="1200"/>
        </w:tabs>
        <w:adjustRightInd w:val="0"/>
        <w:snapToGrid w:val="0"/>
        <w:spacing w:line="360" w:lineRule="auto"/>
        <w:ind w:left="426"/>
        <w:rPr>
          <w:rFonts w:ascii="宋体" w:hAnsi="宋体"/>
          <w:szCs w:val="21"/>
        </w:rPr>
      </w:pPr>
      <w:r>
        <w:rPr>
          <w:rFonts w:hint="eastAsia" w:ascii="宋体" w:hAnsi="宋体"/>
          <w:szCs w:val="21"/>
        </w:rPr>
        <w:t>提交响应文件截止时间：</w:t>
      </w:r>
      <w:r>
        <w:rPr>
          <w:rFonts w:hint="eastAsia" w:ascii="宋体" w:hAnsi="宋体"/>
          <w:bCs/>
          <w:szCs w:val="20"/>
        </w:rPr>
        <w:t>2019年</w:t>
      </w:r>
      <w:r>
        <w:rPr>
          <w:rFonts w:ascii="宋体" w:hAnsi="宋体"/>
          <w:bCs/>
          <w:szCs w:val="20"/>
        </w:rPr>
        <w:t>12</w:t>
      </w:r>
      <w:r>
        <w:rPr>
          <w:rFonts w:hint="eastAsia" w:ascii="宋体" w:hAnsi="宋体"/>
          <w:bCs/>
          <w:szCs w:val="20"/>
        </w:rPr>
        <w:t>月</w:t>
      </w:r>
      <w:r>
        <w:rPr>
          <w:rFonts w:ascii="宋体" w:hAnsi="宋体"/>
          <w:bCs/>
          <w:szCs w:val="20"/>
        </w:rPr>
        <w:t>23</w:t>
      </w:r>
      <w:r>
        <w:rPr>
          <w:rFonts w:hint="eastAsia" w:ascii="宋体" w:hAnsi="宋体"/>
          <w:bCs/>
          <w:szCs w:val="20"/>
        </w:rPr>
        <w:t>日</w:t>
      </w:r>
      <w:r>
        <w:rPr>
          <w:rFonts w:ascii="宋体" w:hAnsi="宋体"/>
          <w:bCs/>
          <w:szCs w:val="20"/>
        </w:rPr>
        <w:t>09</w:t>
      </w:r>
      <w:r>
        <w:rPr>
          <w:rFonts w:hint="eastAsia" w:ascii="宋体" w:hAnsi="宋体"/>
          <w:bCs/>
          <w:szCs w:val="20"/>
        </w:rPr>
        <w:t>时</w:t>
      </w:r>
      <w:r>
        <w:rPr>
          <w:rFonts w:ascii="宋体" w:hAnsi="宋体"/>
          <w:bCs/>
          <w:szCs w:val="20"/>
        </w:rPr>
        <w:t>30</w:t>
      </w:r>
      <w:r>
        <w:rPr>
          <w:rFonts w:hint="eastAsia" w:ascii="宋体" w:hAnsi="宋体"/>
          <w:bCs/>
          <w:szCs w:val="20"/>
        </w:rPr>
        <w:t>分。</w:t>
      </w:r>
    </w:p>
    <w:p>
      <w:pPr>
        <w:numPr>
          <w:ilvl w:val="0"/>
          <w:numId w:val="6"/>
        </w:numPr>
        <w:tabs>
          <w:tab w:val="left" w:pos="567"/>
          <w:tab w:val="left" w:pos="1200"/>
        </w:tabs>
        <w:adjustRightInd w:val="0"/>
        <w:snapToGrid w:val="0"/>
        <w:spacing w:line="360" w:lineRule="auto"/>
        <w:ind w:left="426"/>
        <w:rPr>
          <w:rFonts w:ascii="宋体" w:hAnsi="宋体"/>
          <w:bCs/>
          <w:szCs w:val="20"/>
        </w:rPr>
      </w:pPr>
      <w:r>
        <w:rPr>
          <w:rFonts w:hint="eastAsia" w:ascii="宋体" w:hAnsi="宋体"/>
          <w:szCs w:val="21"/>
        </w:rPr>
        <w:t>提交响应文件地点：深圳市福田区竹子林中国经贸大厦10</w:t>
      </w:r>
      <w:r>
        <w:rPr>
          <w:rFonts w:ascii="宋体" w:hAnsi="宋体"/>
          <w:szCs w:val="21"/>
        </w:rPr>
        <w:t>D</w:t>
      </w:r>
      <w:r>
        <w:rPr>
          <w:rFonts w:hint="eastAsia" w:ascii="宋体" w:hAnsi="宋体"/>
          <w:szCs w:val="21"/>
        </w:rPr>
        <w:t>广东采联采购科技有限公司深圳分公 司会议室</w:t>
      </w:r>
      <w:r>
        <w:rPr>
          <w:rFonts w:hint="eastAsia" w:ascii="宋体" w:hAnsi="宋体"/>
          <w:bCs/>
          <w:szCs w:val="20"/>
        </w:rPr>
        <w:t>。</w:t>
      </w:r>
    </w:p>
    <w:p>
      <w:pPr>
        <w:numPr>
          <w:ilvl w:val="0"/>
          <w:numId w:val="6"/>
        </w:numPr>
        <w:tabs>
          <w:tab w:val="left" w:pos="567"/>
          <w:tab w:val="left" w:pos="1200"/>
        </w:tabs>
        <w:adjustRightInd w:val="0"/>
        <w:snapToGrid w:val="0"/>
        <w:spacing w:line="360" w:lineRule="auto"/>
        <w:ind w:left="426"/>
        <w:rPr>
          <w:rFonts w:ascii="宋体" w:hAnsi="宋体"/>
          <w:szCs w:val="21"/>
        </w:rPr>
      </w:pPr>
      <w:r>
        <w:rPr>
          <w:rFonts w:hint="eastAsia" w:ascii="宋体" w:hAnsi="宋体"/>
          <w:szCs w:val="21"/>
        </w:rPr>
        <w:t>谈判时间：2019年</w:t>
      </w:r>
      <w:r>
        <w:rPr>
          <w:rFonts w:ascii="宋体" w:hAnsi="宋体"/>
          <w:bCs/>
          <w:szCs w:val="20"/>
        </w:rPr>
        <w:t>12</w:t>
      </w:r>
      <w:r>
        <w:rPr>
          <w:rFonts w:hint="eastAsia" w:ascii="宋体" w:hAnsi="宋体"/>
          <w:bCs/>
          <w:szCs w:val="20"/>
        </w:rPr>
        <w:t>月</w:t>
      </w:r>
      <w:r>
        <w:rPr>
          <w:rFonts w:ascii="宋体" w:hAnsi="宋体"/>
          <w:bCs/>
          <w:szCs w:val="20"/>
        </w:rPr>
        <w:t>23</w:t>
      </w:r>
      <w:r>
        <w:rPr>
          <w:rFonts w:hint="eastAsia" w:ascii="宋体" w:hAnsi="宋体"/>
          <w:bCs/>
          <w:szCs w:val="20"/>
        </w:rPr>
        <w:t xml:space="preserve"> 日</w:t>
      </w:r>
      <w:r>
        <w:rPr>
          <w:rFonts w:ascii="宋体" w:hAnsi="宋体"/>
          <w:bCs/>
          <w:szCs w:val="20"/>
        </w:rPr>
        <w:t>09</w:t>
      </w:r>
      <w:r>
        <w:rPr>
          <w:rFonts w:hint="eastAsia" w:ascii="宋体" w:hAnsi="宋体"/>
          <w:bCs/>
          <w:szCs w:val="20"/>
        </w:rPr>
        <w:t>时</w:t>
      </w:r>
      <w:r>
        <w:rPr>
          <w:rFonts w:ascii="宋体" w:hAnsi="宋体"/>
          <w:bCs/>
          <w:szCs w:val="20"/>
        </w:rPr>
        <w:t>30</w:t>
      </w:r>
      <w:r>
        <w:rPr>
          <w:rFonts w:hint="eastAsia" w:ascii="宋体" w:hAnsi="宋体"/>
          <w:bCs/>
          <w:szCs w:val="20"/>
        </w:rPr>
        <w:t>分。</w:t>
      </w:r>
    </w:p>
    <w:p>
      <w:pPr>
        <w:tabs>
          <w:tab w:val="left" w:pos="567"/>
        </w:tabs>
        <w:adjustRightInd w:val="0"/>
        <w:snapToGrid w:val="0"/>
        <w:spacing w:line="360" w:lineRule="auto"/>
        <w:ind w:left="66"/>
        <w:rPr>
          <w:rFonts w:ascii="宋体" w:hAnsi="宋体"/>
          <w:szCs w:val="21"/>
        </w:rPr>
      </w:pPr>
      <w:r>
        <w:rPr>
          <w:rFonts w:hint="eastAsia" w:ascii="宋体" w:hAnsi="宋体"/>
          <w:szCs w:val="21"/>
        </w:rPr>
        <w:t>十一、谈判地点：深圳市福田区竹子林中国经贸大厦10</w:t>
      </w:r>
      <w:r>
        <w:rPr>
          <w:rFonts w:ascii="宋体" w:hAnsi="宋体"/>
          <w:szCs w:val="21"/>
        </w:rPr>
        <w:t>D</w:t>
      </w:r>
      <w:r>
        <w:rPr>
          <w:rFonts w:hint="eastAsia" w:ascii="宋体" w:hAnsi="宋体"/>
          <w:szCs w:val="21"/>
        </w:rPr>
        <w:t>广东采联采购科技有限公司深圳分公司会议室。</w:t>
      </w:r>
    </w:p>
    <w:p>
      <w:pPr>
        <w:tabs>
          <w:tab w:val="left" w:pos="567"/>
        </w:tabs>
        <w:adjustRightInd w:val="0"/>
        <w:snapToGrid w:val="0"/>
        <w:spacing w:line="360" w:lineRule="auto"/>
        <w:rPr>
          <w:rFonts w:ascii="宋体" w:hAnsi="宋体"/>
          <w:szCs w:val="21"/>
        </w:rPr>
      </w:pPr>
      <w:r>
        <w:rPr>
          <w:rFonts w:hint="eastAsia" w:ascii="宋体" w:hAnsi="宋体"/>
          <w:szCs w:val="21"/>
        </w:rPr>
        <w:t>十二、本公告期限（3个工作日）自2019年</w:t>
      </w:r>
      <w:r>
        <w:rPr>
          <w:rFonts w:ascii="宋体" w:hAnsi="宋体"/>
          <w:szCs w:val="21"/>
        </w:rPr>
        <w:t>12</w:t>
      </w:r>
      <w:r>
        <w:rPr>
          <w:rFonts w:hint="eastAsia" w:ascii="宋体" w:hAnsi="宋体"/>
          <w:szCs w:val="21"/>
        </w:rPr>
        <w:t>月</w:t>
      </w:r>
      <w:r>
        <w:rPr>
          <w:rFonts w:ascii="宋体" w:hAnsi="宋体"/>
          <w:szCs w:val="21"/>
        </w:rPr>
        <w:t>17</w:t>
      </w:r>
      <w:r>
        <w:rPr>
          <w:rFonts w:hint="eastAsia" w:ascii="宋体" w:hAnsi="宋体"/>
          <w:szCs w:val="21"/>
        </w:rPr>
        <w:t>日至2019年</w:t>
      </w:r>
      <w:r>
        <w:rPr>
          <w:rFonts w:ascii="宋体" w:hAnsi="宋体"/>
          <w:szCs w:val="21"/>
        </w:rPr>
        <w:t>12</w:t>
      </w:r>
      <w:r>
        <w:rPr>
          <w:rFonts w:hint="eastAsia" w:ascii="宋体" w:hAnsi="宋体"/>
          <w:szCs w:val="21"/>
        </w:rPr>
        <w:t xml:space="preserve">月 </w:t>
      </w:r>
      <w:r>
        <w:rPr>
          <w:rFonts w:ascii="宋体" w:hAnsi="宋体"/>
          <w:szCs w:val="21"/>
        </w:rPr>
        <w:t>19</w:t>
      </w:r>
      <w:r>
        <w:rPr>
          <w:rFonts w:hint="eastAsia" w:ascii="宋体" w:hAnsi="宋体"/>
          <w:szCs w:val="21"/>
        </w:rPr>
        <w:t>日止。</w:t>
      </w:r>
    </w:p>
    <w:p>
      <w:pPr>
        <w:tabs>
          <w:tab w:val="left" w:pos="567"/>
        </w:tabs>
        <w:adjustRightInd w:val="0"/>
        <w:snapToGrid w:val="0"/>
        <w:spacing w:line="360" w:lineRule="auto"/>
        <w:rPr>
          <w:rFonts w:ascii="仿宋_GB2312" w:hAnsi="宋体"/>
          <w:szCs w:val="21"/>
        </w:rPr>
      </w:pPr>
      <w:r>
        <w:rPr>
          <w:rFonts w:hint="eastAsia" w:ascii="宋体" w:hAnsi="宋体"/>
          <w:szCs w:val="21"/>
        </w:rPr>
        <w:t>十三、联系事</w:t>
      </w:r>
      <w:r>
        <w:rPr>
          <w:rFonts w:hint="eastAsia" w:ascii="仿宋_GB2312" w:hAnsi="宋体"/>
          <w:szCs w:val="21"/>
        </w:rPr>
        <w:t>项</w:t>
      </w:r>
    </w:p>
    <w:p>
      <w:pPr>
        <w:pStyle w:val="70"/>
        <w:numPr>
          <w:ilvl w:val="0"/>
          <w:numId w:val="0"/>
        </w:numPr>
        <w:tabs>
          <w:tab w:val="left" w:pos="420"/>
        </w:tabs>
        <w:spacing w:line="360" w:lineRule="auto"/>
        <w:jc w:val="left"/>
        <w:rPr>
          <w:rFonts w:ascii="宋体" w:hAnsi="宋体" w:cs="宋体"/>
          <w:szCs w:val="21"/>
        </w:rPr>
      </w:pPr>
      <w:r>
        <w:rPr>
          <w:rFonts w:hint="eastAsia" w:ascii="宋体" w:hAnsi="宋体" w:cs="宋体"/>
          <w:szCs w:val="21"/>
        </w:rPr>
        <w:t>（一）采购代理机构：广东采联采购科技有限公司</w:t>
      </w:r>
    </w:p>
    <w:p>
      <w:pPr>
        <w:pStyle w:val="70"/>
        <w:numPr>
          <w:ilvl w:val="0"/>
          <w:numId w:val="0"/>
        </w:numPr>
        <w:tabs>
          <w:tab w:val="left" w:pos="420"/>
        </w:tabs>
        <w:spacing w:line="360" w:lineRule="auto"/>
        <w:ind w:firstLine="630" w:firstLineChars="300"/>
        <w:jc w:val="left"/>
        <w:rPr>
          <w:rFonts w:ascii="宋体" w:hAnsi="宋体" w:cs="宋体"/>
          <w:szCs w:val="21"/>
        </w:rPr>
      </w:pPr>
      <w:r>
        <w:rPr>
          <w:rFonts w:hint="eastAsia" w:ascii="宋体" w:hAnsi="宋体" w:cs="宋体"/>
          <w:szCs w:val="21"/>
        </w:rPr>
        <w:t>地址：深圳市福田区竹子林中国经贸大厦10A、B广东采联采购科技有限公司深圳分公司</w:t>
      </w:r>
    </w:p>
    <w:p>
      <w:pPr>
        <w:pStyle w:val="70"/>
        <w:numPr>
          <w:ilvl w:val="0"/>
          <w:numId w:val="0"/>
        </w:numPr>
        <w:tabs>
          <w:tab w:val="left" w:pos="420"/>
        </w:tabs>
        <w:spacing w:line="360" w:lineRule="auto"/>
        <w:ind w:firstLine="630" w:firstLineChars="300"/>
        <w:jc w:val="left"/>
        <w:rPr>
          <w:rFonts w:ascii="宋体" w:hAnsi="宋体" w:cs="宋体"/>
          <w:szCs w:val="21"/>
        </w:rPr>
      </w:pPr>
      <w:r>
        <w:rPr>
          <w:rFonts w:hint="eastAsia" w:ascii="宋体" w:hAnsi="宋体" w:cs="宋体"/>
          <w:szCs w:val="21"/>
        </w:rPr>
        <w:t>联系人：汤小姐</w:t>
      </w:r>
    </w:p>
    <w:p>
      <w:pPr>
        <w:pStyle w:val="70"/>
        <w:numPr>
          <w:ilvl w:val="0"/>
          <w:numId w:val="0"/>
        </w:numPr>
        <w:tabs>
          <w:tab w:val="left" w:pos="420"/>
        </w:tabs>
        <w:spacing w:line="360" w:lineRule="auto"/>
        <w:ind w:firstLine="630" w:firstLineChars="300"/>
        <w:jc w:val="left"/>
        <w:rPr>
          <w:rFonts w:ascii="宋体" w:hAnsi="宋体" w:cs="宋体"/>
          <w:szCs w:val="21"/>
        </w:rPr>
      </w:pPr>
      <w:r>
        <w:rPr>
          <w:rFonts w:hint="eastAsia" w:ascii="宋体" w:hAnsi="宋体" w:cs="宋体"/>
          <w:szCs w:val="21"/>
        </w:rPr>
        <w:t>联系电话：0755-8837 7571或7572转2310</w:t>
      </w:r>
    </w:p>
    <w:p>
      <w:pPr>
        <w:pStyle w:val="70"/>
        <w:numPr>
          <w:ilvl w:val="0"/>
          <w:numId w:val="0"/>
        </w:numPr>
        <w:tabs>
          <w:tab w:val="left" w:pos="420"/>
        </w:tabs>
        <w:spacing w:line="360" w:lineRule="auto"/>
        <w:ind w:firstLine="630" w:firstLineChars="300"/>
        <w:jc w:val="left"/>
        <w:rPr>
          <w:rFonts w:ascii="宋体" w:hAnsi="宋体" w:cs="宋体"/>
          <w:szCs w:val="21"/>
        </w:rPr>
      </w:pPr>
      <w:r>
        <w:rPr>
          <w:rFonts w:hint="eastAsia" w:ascii="宋体" w:hAnsi="宋体" w:cs="宋体"/>
          <w:szCs w:val="21"/>
        </w:rPr>
        <w:t>邮编：518040</w:t>
      </w:r>
    </w:p>
    <w:p>
      <w:pPr>
        <w:pStyle w:val="70"/>
        <w:numPr>
          <w:ilvl w:val="0"/>
          <w:numId w:val="0"/>
        </w:numPr>
        <w:tabs>
          <w:tab w:val="left" w:pos="420"/>
        </w:tabs>
        <w:spacing w:line="360" w:lineRule="auto"/>
        <w:ind w:firstLine="630" w:firstLineChars="300"/>
        <w:jc w:val="left"/>
        <w:rPr>
          <w:rFonts w:ascii="宋体" w:hAnsi="宋体" w:cs="宋体"/>
          <w:szCs w:val="21"/>
        </w:rPr>
      </w:pPr>
      <w:r>
        <w:rPr>
          <w:rFonts w:hint="eastAsia" w:ascii="宋体" w:hAnsi="宋体" w:cs="宋体"/>
          <w:szCs w:val="21"/>
        </w:rPr>
        <w:t>邮箱：cailiansz@126.com</w:t>
      </w:r>
    </w:p>
    <w:p>
      <w:pPr>
        <w:pStyle w:val="70"/>
        <w:numPr>
          <w:ilvl w:val="0"/>
          <w:numId w:val="0"/>
        </w:numPr>
        <w:tabs>
          <w:tab w:val="left" w:pos="420"/>
        </w:tabs>
        <w:spacing w:line="360" w:lineRule="auto"/>
        <w:jc w:val="left"/>
        <w:rPr>
          <w:rFonts w:ascii="宋体" w:hAnsi="宋体" w:cs="宋体"/>
          <w:szCs w:val="21"/>
        </w:rPr>
      </w:pPr>
      <w:r>
        <w:rPr>
          <w:rFonts w:hint="eastAsia" w:ascii="宋体" w:hAnsi="宋体" w:cs="宋体"/>
          <w:szCs w:val="21"/>
        </w:rPr>
        <w:t>（二）采购人：国家税务总局深圳市罗湖区税务局</w:t>
      </w:r>
    </w:p>
    <w:p>
      <w:pPr>
        <w:pStyle w:val="70"/>
        <w:numPr>
          <w:ilvl w:val="0"/>
          <w:numId w:val="0"/>
        </w:numPr>
        <w:tabs>
          <w:tab w:val="left" w:pos="420"/>
        </w:tabs>
        <w:spacing w:line="360" w:lineRule="auto"/>
        <w:jc w:val="left"/>
        <w:rPr>
          <w:rFonts w:ascii="宋体" w:hAnsi="宋体" w:cs="宋体"/>
          <w:szCs w:val="21"/>
        </w:rPr>
      </w:pPr>
      <w:r>
        <w:rPr>
          <w:rFonts w:hint="eastAsia" w:ascii="宋体" w:hAnsi="宋体" w:cs="宋体"/>
          <w:szCs w:val="21"/>
        </w:rPr>
        <w:t>地址：深圳市罗湖区蜜园路1号国家税务总局深圳市罗湖区税务局蜜园路办公区</w:t>
      </w:r>
    </w:p>
    <w:p>
      <w:pPr>
        <w:tabs>
          <w:tab w:val="left" w:pos="567"/>
        </w:tabs>
        <w:adjustRightInd w:val="0"/>
        <w:snapToGrid w:val="0"/>
        <w:spacing w:line="360" w:lineRule="auto"/>
        <w:ind w:left="426"/>
        <w:rPr>
          <w:rFonts w:ascii="仿宋_GB2312" w:hAnsi="宋体"/>
          <w:szCs w:val="21"/>
        </w:rPr>
      </w:pPr>
    </w:p>
    <w:p>
      <w:pPr>
        <w:pStyle w:val="70"/>
        <w:numPr>
          <w:ilvl w:val="0"/>
          <w:numId w:val="0"/>
        </w:numPr>
        <w:tabs>
          <w:tab w:val="left" w:pos="420"/>
        </w:tabs>
        <w:adjustRightInd w:val="0"/>
        <w:snapToGrid w:val="0"/>
        <w:spacing w:line="360" w:lineRule="auto"/>
        <w:ind w:left="720" w:firstLine="554" w:firstLineChars="264"/>
        <w:rPr>
          <w:rFonts w:ascii="宋体" w:hAnsi="宋体"/>
          <w:szCs w:val="21"/>
        </w:rPr>
      </w:pPr>
    </w:p>
    <w:p>
      <w:pPr>
        <w:tabs>
          <w:tab w:val="right" w:pos="9180"/>
        </w:tabs>
        <w:adjustRightInd w:val="0"/>
        <w:snapToGrid w:val="0"/>
        <w:spacing w:line="360" w:lineRule="auto"/>
        <w:ind w:firstLine="435"/>
        <w:jc w:val="right"/>
        <w:rPr>
          <w:b/>
        </w:rPr>
      </w:pPr>
      <w:r>
        <w:rPr>
          <w:rFonts w:hint="eastAsia"/>
          <w:b/>
        </w:rPr>
        <w:t>发布人：广东采联采购科技有限公司</w:t>
      </w:r>
    </w:p>
    <w:p>
      <w:pPr>
        <w:adjustRightInd w:val="0"/>
        <w:snapToGrid w:val="0"/>
        <w:spacing w:line="360" w:lineRule="auto"/>
        <w:ind w:firstLine="435"/>
        <w:jc w:val="right"/>
        <w:rPr>
          <w:b/>
        </w:rPr>
      </w:pPr>
      <w:r>
        <w:rPr>
          <w:rFonts w:hint="eastAsia"/>
          <w:b/>
        </w:rPr>
        <w:t>发布时间：</w:t>
      </w:r>
      <w:r>
        <w:rPr>
          <w:b/>
        </w:rPr>
        <w:t>2019</w:t>
      </w:r>
      <w:r>
        <w:rPr>
          <w:rFonts w:hint="eastAsia"/>
          <w:b/>
        </w:rPr>
        <w:t>年</w:t>
      </w:r>
      <w:r>
        <w:rPr>
          <w:b/>
        </w:rPr>
        <w:t>12</w:t>
      </w:r>
      <w:r>
        <w:rPr>
          <w:rFonts w:hint="eastAsia"/>
          <w:b/>
        </w:rPr>
        <w:t>月</w:t>
      </w:r>
      <w:r>
        <w:rPr>
          <w:b/>
        </w:rPr>
        <w:t>16</w:t>
      </w:r>
      <w:r>
        <w:rPr>
          <w:rFonts w:hint="eastAsia"/>
          <w:b/>
        </w:rPr>
        <w:t>日</w:t>
      </w:r>
    </w:p>
    <w:p>
      <w:pPr>
        <w:tabs>
          <w:tab w:val="left" w:pos="5820"/>
          <w:tab w:val="right" w:pos="9070"/>
        </w:tabs>
        <w:adjustRightInd w:val="0"/>
        <w:snapToGrid w:val="0"/>
        <w:spacing w:line="440" w:lineRule="exact"/>
        <w:jc w:val="right"/>
        <w:rPr>
          <w:rFonts w:hAnsi="宋体" w:cs="宋体"/>
          <w:b/>
          <w:bCs/>
          <w:kern w:val="0"/>
          <w:szCs w:val="18"/>
        </w:rPr>
        <w:sectPr>
          <w:pgSz w:w="11906" w:h="16838"/>
          <w:pgMar w:top="1134" w:right="1134" w:bottom="1134" w:left="1134" w:header="699" w:footer="605" w:gutter="0"/>
          <w:cols w:space="425" w:num="1"/>
          <w:docGrid w:type="lines" w:linePitch="312" w:charSpace="0"/>
        </w:sectPr>
      </w:pPr>
    </w:p>
    <w:p>
      <w:pPr>
        <w:snapToGrid w:val="0"/>
        <w:spacing w:line="360" w:lineRule="auto"/>
        <w:jc w:val="center"/>
        <w:outlineLvl w:val="0"/>
        <w:rPr>
          <w:b/>
          <w:bCs/>
          <w:sz w:val="28"/>
        </w:rPr>
      </w:pPr>
      <w:bookmarkStart w:id="2" w:name="_Toc27128617"/>
      <w:r>
        <w:rPr>
          <w:b/>
          <w:bCs/>
          <w:sz w:val="28"/>
          <w:szCs w:val="28"/>
        </w:rPr>
        <w:t>第</w:t>
      </w:r>
      <w:r>
        <w:rPr>
          <w:rFonts w:hint="eastAsia"/>
          <w:b/>
          <w:bCs/>
          <w:sz w:val="28"/>
          <w:szCs w:val="28"/>
        </w:rPr>
        <w:t>二</w:t>
      </w:r>
      <w:r>
        <w:rPr>
          <w:b/>
          <w:bCs/>
          <w:sz w:val="28"/>
          <w:szCs w:val="28"/>
        </w:rPr>
        <w:t>章谈判资料表</w:t>
      </w:r>
      <w:bookmarkEnd w:id="2"/>
    </w:p>
    <w:p>
      <w:pPr>
        <w:spacing w:line="360" w:lineRule="auto"/>
        <w:ind w:left="283" w:leftChars="135" w:right="-1" w:firstLine="340" w:firstLineChars="162"/>
      </w:pPr>
      <w:r>
        <w:rPr>
          <w:rFonts w:hint="eastAsia"/>
        </w:rPr>
        <w:t>该资料表的条款项号是与第七章《谈判须知》条款项号对应的，或增加的条款，是对第七章《谈判须知》的补充、修改和完善，如果有矛盾的话，应以本资料表为准。</w:t>
      </w:r>
    </w:p>
    <w:tbl>
      <w:tblPr>
        <w:tblStyle w:val="30"/>
        <w:tblW w:w="90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6"/>
        <w:gridCol w:w="79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056" w:type="dxa"/>
            <w:vAlign w:val="center"/>
          </w:tcPr>
          <w:p>
            <w:pPr>
              <w:adjustRightInd w:val="0"/>
              <w:snapToGrid w:val="0"/>
              <w:spacing w:line="400" w:lineRule="exact"/>
              <w:jc w:val="center"/>
              <w:rPr>
                <w:rFonts w:ascii="宋体" w:hAnsi="宋体"/>
                <w:szCs w:val="21"/>
              </w:rPr>
            </w:pPr>
            <w:r>
              <w:rPr>
                <w:rFonts w:ascii="宋体" w:hAnsi="宋体"/>
                <w:szCs w:val="21"/>
              </w:rPr>
              <w:t>条款</w:t>
            </w:r>
            <w:r>
              <w:rPr>
                <w:rFonts w:hint="eastAsia" w:ascii="宋体" w:hAnsi="宋体"/>
                <w:szCs w:val="21"/>
              </w:rPr>
              <w:t>项号</w:t>
            </w:r>
          </w:p>
        </w:tc>
        <w:tc>
          <w:tcPr>
            <w:tcW w:w="7944" w:type="dxa"/>
            <w:vAlign w:val="center"/>
          </w:tcPr>
          <w:p>
            <w:pPr>
              <w:adjustRightInd w:val="0"/>
              <w:snapToGrid w:val="0"/>
              <w:spacing w:line="400" w:lineRule="exact"/>
              <w:jc w:val="center"/>
              <w:rPr>
                <w:rFonts w:ascii="宋体" w:hAnsi="宋体"/>
                <w:b/>
                <w:szCs w:val="21"/>
              </w:rPr>
            </w:pPr>
            <w:r>
              <w:rPr>
                <w:rFonts w:ascii="宋体" w:hAnsi="宋体"/>
                <w:b/>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000" w:type="dxa"/>
            <w:gridSpan w:val="2"/>
            <w:vAlign w:val="center"/>
          </w:tcPr>
          <w:p>
            <w:pPr>
              <w:adjustRightInd w:val="0"/>
              <w:snapToGrid w:val="0"/>
              <w:spacing w:line="400" w:lineRule="exact"/>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056" w:type="dxa"/>
            <w:shd w:val="clear" w:color="auto" w:fill="auto"/>
            <w:vAlign w:val="center"/>
          </w:tcPr>
          <w:p>
            <w:pPr>
              <w:adjustRightInd w:val="0"/>
              <w:snapToGrid w:val="0"/>
              <w:spacing w:line="400" w:lineRule="exact"/>
              <w:jc w:val="center"/>
              <w:rPr>
                <w:rFonts w:ascii="宋体" w:hAnsi="宋体"/>
                <w:szCs w:val="21"/>
              </w:rPr>
            </w:pPr>
            <w:r>
              <w:rPr>
                <w:rFonts w:hint="eastAsia" w:ascii="宋体" w:hAnsi="宋体"/>
                <w:szCs w:val="21"/>
              </w:rPr>
              <w:t>2.2</w:t>
            </w:r>
          </w:p>
        </w:tc>
        <w:tc>
          <w:tcPr>
            <w:tcW w:w="7944" w:type="dxa"/>
            <w:vAlign w:val="center"/>
          </w:tcPr>
          <w:p>
            <w:pPr>
              <w:adjustRightInd w:val="0"/>
              <w:snapToGrid w:val="0"/>
              <w:spacing w:line="276" w:lineRule="auto"/>
              <w:rPr>
                <w:rFonts w:ascii="宋体" w:hAnsi="宋体"/>
                <w:szCs w:val="21"/>
              </w:rPr>
            </w:pPr>
            <w:r>
              <w:rPr>
                <w:rFonts w:hint="eastAsia" w:ascii="宋体" w:hAnsi="宋体"/>
                <w:szCs w:val="21"/>
              </w:rPr>
              <w:t>采购人名称：</w:t>
            </w:r>
            <w:r>
              <w:rPr>
                <w:rFonts w:hint="eastAsia" w:ascii="宋体" w:hAnsi="宋体"/>
                <w:kern w:val="28"/>
                <w:szCs w:val="21"/>
              </w:rPr>
              <w:t>国家税务总局深圳市罗湖区税务局</w:t>
            </w:r>
          </w:p>
          <w:p>
            <w:pPr>
              <w:adjustRightInd w:val="0"/>
              <w:snapToGrid w:val="0"/>
              <w:spacing w:line="276" w:lineRule="auto"/>
              <w:rPr>
                <w:rFonts w:ascii="宋体" w:hAnsi="宋体" w:cs="宋体"/>
                <w:szCs w:val="21"/>
              </w:rPr>
            </w:pPr>
            <w:r>
              <w:rPr>
                <w:rFonts w:hint="eastAsia" w:ascii="宋体" w:hAnsi="宋体" w:cs="宋体"/>
                <w:szCs w:val="21"/>
              </w:rPr>
              <w:t>资金来源：财政性资金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056" w:type="dxa"/>
            <w:shd w:val="clear" w:color="auto" w:fill="auto"/>
            <w:vAlign w:val="center"/>
          </w:tcPr>
          <w:p>
            <w:pPr>
              <w:adjustRightInd w:val="0"/>
              <w:snapToGrid w:val="0"/>
              <w:spacing w:line="400" w:lineRule="exact"/>
              <w:jc w:val="center"/>
              <w:rPr>
                <w:rFonts w:ascii="宋体" w:hAnsi="宋体"/>
                <w:szCs w:val="21"/>
              </w:rPr>
            </w:pPr>
            <w:r>
              <w:rPr>
                <w:rFonts w:hint="eastAsia" w:ascii="宋体" w:hAnsi="宋体"/>
                <w:szCs w:val="21"/>
              </w:rPr>
              <w:t>2.3</w:t>
            </w:r>
          </w:p>
        </w:tc>
        <w:tc>
          <w:tcPr>
            <w:tcW w:w="7944" w:type="dxa"/>
            <w:vAlign w:val="center"/>
          </w:tcPr>
          <w:p>
            <w:pPr>
              <w:rPr>
                <w:rFonts w:ascii="宋体" w:hAnsi="宋体"/>
              </w:rPr>
            </w:pPr>
            <w:r>
              <w:rPr>
                <w:rFonts w:hint="eastAsia" w:ascii="宋体" w:hAnsi="宋体"/>
              </w:rPr>
              <w:t>采购代理机构联系方式：</w:t>
            </w:r>
          </w:p>
          <w:p>
            <w:pPr>
              <w:rPr>
                <w:rFonts w:ascii="宋体" w:hAnsi="宋体"/>
              </w:rPr>
            </w:pPr>
            <w:r>
              <w:rPr>
                <w:rFonts w:hint="eastAsia" w:ascii="宋体" w:hAnsi="宋体"/>
              </w:rPr>
              <w:t>联系人：汤小姐           联系电话：</w:t>
            </w:r>
            <w:r>
              <w:rPr>
                <w:rFonts w:hint="eastAsia" w:ascii="宋体" w:hAnsi="宋体"/>
                <w:szCs w:val="21"/>
              </w:rPr>
              <w:t>0755-8837 7571或7572转2310</w:t>
            </w:r>
          </w:p>
          <w:p>
            <w:pPr>
              <w:adjustRightInd w:val="0"/>
              <w:snapToGrid w:val="0"/>
              <w:spacing w:line="276" w:lineRule="auto"/>
              <w:rPr>
                <w:rFonts w:ascii="宋体" w:hAnsi="宋体"/>
                <w:szCs w:val="21"/>
              </w:rPr>
            </w:pPr>
            <w:r>
              <w:rPr>
                <w:rFonts w:hint="eastAsia" w:ascii="宋体" w:hAnsi="宋体"/>
              </w:rPr>
              <w:t>联系部门：项目部         联系地址：</w:t>
            </w:r>
            <w:r>
              <w:rPr>
                <w:rFonts w:hint="eastAsia" w:ascii="宋体" w:hAnsi="宋体" w:cs="宋体"/>
                <w:szCs w:val="21"/>
              </w:rPr>
              <w:t>深圳市福田区竹子林中国经贸大厦10A、B广东采联采购科技有限公司深圳分公司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056" w:type="dxa"/>
            <w:shd w:val="clear" w:color="auto" w:fill="auto"/>
            <w:vAlign w:val="center"/>
          </w:tcPr>
          <w:p>
            <w:pPr>
              <w:adjustRightInd w:val="0"/>
              <w:snapToGrid w:val="0"/>
              <w:spacing w:line="400" w:lineRule="exact"/>
              <w:jc w:val="center"/>
              <w:rPr>
                <w:rFonts w:ascii="宋体" w:hAnsi="宋体"/>
                <w:szCs w:val="21"/>
              </w:rPr>
            </w:pPr>
            <w:r>
              <w:rPr>
                <w:rFonts w:hint="eastAsia" w:ascii="宋体" w:hAnsi="宋体"/>
                <w:szCs w:val="21"/>
              </w:rPr>
              <w:t>6.3</w:t>
            </w:r>
          </w:p>
        </w:tc>
        <w:tc>
          <w:tcPr>
            <w:tcW w:w="7944" w:type="dxa"/>
            <w:vAlign w:val="center"/>
          </w:tcPr>
          <w:p>
            <w:pPr>
              <w:numPr>
                <w:ilvl w:val="0"/>
                <w:numId w:val="9"/>
              </w:numPr>
              <w:adjustRightInd w:val="0"/>
              <w:snapToGrid w:val="0"/>
              <w:spacing w:line="276" w:lineRule="auto"/>
              <w:rPr>
                <w:rFonts w:ascii="宋体" w:hAnsi="宋体"/>
                <w:szCs w:val="21"/>
              </w:rPr>
            </w:pPr>
            <w:r>
              <w:rPr>
                <w:rFonts w:hint="eastAsia" w:ascii="宋体" w:hAnsi="宋体"/>
                <w:szCs w:val="21"/>
              </w:rPr>
              <w:t>成交供应商须向采购代理机构按如下标准和规定缴纳招标代理服务费：</w:t>
            </w:r>
          </w:p>
          <w:p>
            <w:pPr>
              <w:adjustRightInd w:val="0"/>
              <w:snapToGrid w:val="0"/>
              <w:spacing w:line="276" w:lineRule="auto"/>
              <w:ind w:left="420"/>
              <w:rPr>
                <w:rFonts w:ascii="宋体" w:hAnsi="宋体"/>
                <w:szCs w:val="21"/>
              </w:rPr>
            </w:pPr>
            <w:r>
              <w:rPr>
                <w:rFonts w:hint="eastAsia" w:ascii="宋体" w:hAnsi="宋体"/>
                <w:szCs w:val="21"/>
              </w:rPr>
              <w:t>按包组独立计算，以年度支付上限金额</w:t>
            </w:r>
            <w:r>
              <w:rPr>
                <w:rFonts w:hint="eastAsia" w:ascii="宋体" w:hAnsi="宋体"/>
                <w:bCs/>
              </w:rPr>
              <w:t>作为招标代理服务费的计算基数。</w:t>
            </w:r>
          </w:p>
          <w:p>
            <w:pPr>
              <w:adjustRightInd w:val="0"/>
              <w:snapToGrid w:val="0"/>
              <w:spacing w:line="276" w:lineRule="auto"/>
              <w:rPr>
                <w:rFonts w:ascii="宋体" w:hAnsi="宋体"/>
                <w:szCs w:val="21"/>
              </w:rPr>
            </w:pPr>
            <w:r>
              <w:rPr>
                <w:rFonts w:hint="eastAsia" w:ascii="宋体" w:hAnsi="宋体"/>
                <w:szCs w:val="21"/>
              </w:rPr>
              <w:t>（1）招标代理服务费收费采用差额定率累进法计算方式。按中华人民共和国国家发展计划委员会颁发的计价格[2002]1980号、国家发改委[2003]857号及发改价格</w:t>
            </w:r>
            <w:r>
              <w:rPr>
                <w:rFonts w:ascii="宋体" w:hAnsi="宋体"/>
                <w:szCs w:val="21"/>
              </w:rPr>
              <w:sym w:font="Symbol" w:char="F05B"/>
            </w:r>
            <w:r>
              <w:rPr>
                <w:rFonts w:hint="eastAsia" w:ascii="宋体" w:hAnsi="宋体"/>
                <w:szCs w:val="21"/>
              </w:rPr>
              <w:t>2011</w:t>
            </w:r>
            <w:r>
              <w:rPr>
                <w:rFonts w:ascii="宋体" w:hAnsi="宋体"/>
                <w:szCs w:val="21"/>
              </w:rPr>
              <w:sym w:font="Symbol" w:char="F05D"/>
            </w:r>
            <w:r>
              <w:rPr>
                <w:rFonts w:hint="eastAsia" w:ascii="宋体" w:hAnsi="宋体"/>
                <w:szCs w:val="21"/>
              </w:rPr>
              <w:t>534号文规定的“货物类”，上浮2</w:t>
            </w:r>
            <w:r>
              <w:rPr>
                <w:rFonts w:ascii="宋体" w:hAnsi="宋体"/>
                <w:szCs w:val="21"/>
              </w:rPr>
              <w:t>0</w:t>
            </w:r>
            <w:r>
              <w:rPr>
                <w:rFonts w:hint="eastAsia" w:ascii="宋体" w:hAnsi="宋体"/>
                <w:szCs w:val="21"/>
              </w:rPr>
              <w:t>%×</w:t>
            </w:r>
            <w:r>
              <w:rPr>
                <w:rFonts w:ascii="宋体" w:hAnsi="宋体"/>
                <w:szCs w:val="21"/>
              </w:rPr>
              <w:t>3</w:t>
            </w:r>
            <w:r>
              <w:rPr>
                <w:rFonts w:hint="eastAsia" w:ascii="宋体" w:hAnsi="宋体"/>
                <w:szCs w:val="21"/>
              </w:rPr>
              <w:t>（年）计算。</w:t>
            </w:r>
          </w:p>
          <w:p>
            <w:pPr>
              <w:adjustRightInd w:val="0"/>
              <w:snapToGrid w:val="0"/>
              <w:spacing w:line="276" w:lineRule="auto"/>
              <w:rPr>
                <w:rFonts w:ascii="宋体" w:hAnsi="宋体"/>
                <w:szCs w:val="21"/>
              </w:rPr>
            </w:pPr>
            <w:r>
              <w:rPr>
                <w:rFonts w:hint="eastAsia" w:ascii="宋体" w:hAnsi="宋体"/>
                <w:szCs w:val="21"/>
              </w:rPr>
              <w:t>（2）招标代理服务费的缴纳形式：</w:t>
            </w:r>
          </w:p>
          <w:p>
            <w:pPr>
              <w:adjustRightInd w:val="0"/>
              <w:snapToGrid w:val="0"/>
              <w:spacing w:line="276" w:lineRule="auto"/>
              <w:ind w:left="420"/>
              <w:rPr>
                <w:rFonts w:ascii="宋体" w:hAnsi="宋体"/>
                <w:szCs w:val="21"/>
              </w:rPr>
            </w:pPr>
            <w:r>
              <w:rPr>
                <w:rFonts w:hint="eastAsia" w:ascii="宋体" w:hAnsi="宋体"/>
                <w:szCs w:val="21"/>
              </w:rPr>
              <w:t xml:space="preserve">向采购代理机构直接缴纳招标代理服务费（可用支票、汇票、电汇等付款方式）。 </w:t>
            </w:r>
          </w:p>
          <w:p>
            <w:pPr>
              <w:numPr>
                <w:ilvl w:val="0"/>
                <w:numId w:val="9"/>
              </w:numPr>
              <w:adjustRightInd w:val="0"/>
              <w:snapToGrid w:val="0"/>
              <w:spacing w:line="276" w:lineRule="auto"/>
              <w:rPr>
                <w:rFonts w:ascii="宋体" w:hAnsi="宋体"/>
                <w:szCs w:val="21"/>
              </w:rPr>
            </w:pPr>
            <w:r>
              <w:rPr>
                <w:rFonts w:hint="eastAsia" w:ascii="宋体" w:hAnsi="宋体"/>
                <w:szCs w:val="21"/>
              </w:rPr>
              <w:t>响应供应商应签署第六章所附格式的招标代理服务费承诺书，作为响应文件的一部分。</w:t>
            </w:r>
          </w:p>
          <w:p>
            <w:pPr>
              <w:rPr>
                <w:rFonts w:ascii="宋体" w:hAnsi="宋体"/>
              </w:rPr>
            </w:pPr>
            <w:r>
              <w:rPr>
                <w:rFonts w:hint="eastAsia" w:ascii="宋体" w:hAnsi="宋体"/>
                <w:szCs w:val="21"/>
              </w:rPr>
              <w:t>成交人在领取《成交知书》前应向采购代理机构缴纳招标代理服务费。</w:t>
            </w:r>
            <w:r>
              <w:rPr>
                <w:rFonts w:hint="eastAsia" w:ascii="宋体" w:cs="宋体"/>
                <w:szCs w:val="21"/>
              </w:rPr>
              <w:t>凭领取人身份证复印件并加盖公章领取《成交通知书》。如采用电汇或银行转账，须同时递交招标代理服务费缴费凭证复印件并加盖公章。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000" w:type="dxa"/>
            <w:gridSpan w:val="2"/>
            <w:vAlign w:val="center"/>
          </w:tcPr>
          <w:p>
            <w:pPr>
              <w:adjustRightInd w:val="0"/>
              <w:snapToGrid w:val="0"/>
              <w:spacing w:line="276" w:lineRule="auto"/>
              <w:jc w:val="center"/>
              <w:rPr>
                <w:rFonts w:ascii="宋体" w:hAnsi="宋体"/>
                <w:szCs w:val="21"/>
              </w:rPr>
            </w:pPr>
            <w:r>
              <w:rPr>
                <w:rFonts w:hint="eastAsia" w:ascii="宋体" w:hAnsi="宋体"/>
                <w:b/>
                <w:szCs w:val="21"/>
              </w:rPr>
              <w:t>二、谈判文件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9</w:t>
            </w:r>
            <w:r>
              <w:rPr>
                <w:rFonts w:ascii="宋体" w:hAnsi="宋体"/>
                <w:szCs w:val="21"/>
              </w:rPr>
              <w:t>.</w:t>
            </w:r>
            <w:r>
              <w:rPr>
                <w:rFonts w:hint="eastAsia" w:ascii="宋体" w:hAnsi="宋体"/>
                <w:szCs w:val="21"/>
              </w:rPr>
              <w:t>1</w:t>
            </w:r>
          </w:p>
        </w:tc>
        <w:tc>
          <w:tcPr>
            <w:tcW w:w="7944" w:type="dxa"/>
            <w:vAlign w:val="center"/>
          </w:tcPr>
          <w:p>
            <w:pPr>
              <w:adjustRightInd w:val="0"/>
              <w:snapToGrid w:val="0"/>
              <w:spacing w:line="276" w:lineRule="auto"/>
              <w:rPr>
                <w:rFonts w:ascii="宋体" w:hAnsi="宋体"/>
                <w:szCs w:val="21"/>
              </w:rPr>
            </w:pPr>
            <w:r>
              <w:rPr>
                <w:rFonts w:hint="eastAsia" w:ascii="宋体" w:hAnsi="宋体"/>
                <w:szCs w:val="21"/>
              </w:rPr>
              <w:t>集中答疑会或现场考察：不举行。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000" w:type="dxa"/>
            <w:gridSpan w:val="2"/>
            <w:vAlign w:val="center"/>
          </w:tcPr>
          <w:p>
            <w:pPr>
              <w:adjustRightInd w:val="0"/>
              <w:snapToGrid w:val="0"/>
              <w:spacing w:line="276" w:lineRule="auto"/>
              <w:jc w:val="center"/>
              <w:rPr>
                <w:rFonts w:ascii="宋体" w:hAnsi="宋体"/>
                <w:b/>
                <w:szCs w:val="21"/>
              </w:rPr>
            </w:pPr>
            <w:r>
              <w:rPr>
                <w:rFonts w:ascii="宋体" w:hAnsi="宋体"/>
                <w:b/>
                <w:szCs w:val="21"/>
              </w:rPr>
              <w:t>三、响应文件的编制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13.1</w:t>
            </w:r>
          </w:p>
        </w:tc>
        <w:tc>
          <w:tcPr>
            <w:tcW w:w="7944" w:type="dxa"/>
            <w:vAlign w:val="center"/>
          </w:tcPr>
          <w:p>
            <w:pPr>
              <w:snapToGrid w:val="0"/>
              <w:spacing w:line="360" w:lineRule="auto"/>
              <w:rPr>
                <w:rFonts w:ascii="宋体" w:hAnsi="宋体" w:cs="宋体"/>
              </w:rPr>
            </w:pPr>
            <w:r>
              <w:rPr>
                <w:rFonts w:hint="eastAsia" w:ascii="宋体" w:hAnsi="宋体" w:cs="宋体"/>
                <w:lang w:eastAsia="zh-TW"/>
              </w:rPr>
              <w:t>报价总价中不得包含谈判文件要求以外的内容，否则，在评审时不予核减。报价总价中不得缺漏谈判文件所要求的内容，否则，被视为包含在报价总价中。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13.3.1</w:t>
            </w:r>
          </w:p>
        </w:tc>
        <w:tc>
          <w:tcPr>
            <w:tcW w:w="7944" w:type="dxa"/>
            <w:vAlign w:val="center"/>
          </w:tcPr>
          <w:p>
            <w:pPr>
              <w:adjustRightInd w:val="0"/>
              <w:snapToGrid w:val="0"/>
              <w:spacing w:line="276" w:lineRule="auto"/>
              <w:ind w:left="210" w:hanging="210"/>
              <w:rPr>
                <w:rFonts w:ascii="宋体" w:hAnsi="宋体"/>
                <w:szCs w:val="21"/>
              </w:rPr>
            </w:pPr>
            <w:r>
              <w:rPr>
                <w:rFonts w:hint="eastAsia" w:ascii="宋体" w:hAnsi="宋体"/>
                <w:szCs w:val="21"/>
              </w:rPr>
              <w:t>（境外货物）</w:t>
            </w:r>
            <w:r>
              <w:rPr>
                <w:rFonts w:hint="eastAsia" w:ascii="宋体" w:hAnsi="宋体" w:cs="宋体"/>
                <w:szCs w:val="21"/>
                <w:lang w:val="zh-CN"/>
              </w:rPr>
              <w:t>进口环节关税和增值税：无。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13.4</w:t>
            </w:r>
          </w:p>
        </w:tc>
        <w:tc>
          <w:tcPr>
            <w:tcW w:w="7944" w:type="dxa"/>
            <w:vAlign w:val="center"/>
          </w:tcPr>
          <w:p>
            <w:pPr>
              <w:adjustRightInd w:val="0"/>
              <w:snapToGrid w:val="0"/>
              <w:spacing w:line="276" w:lineRule="auto"/>
              <w:rPr>
                <w:rFonts w:ascii="宋体" w:hAnsi="宋体"/>
                <w:szCs w:val="21"/>
              </w:rPr>
            </w:pPr>
            <w:r>
              <w:rPr>
                <w:rFonts w:hint="eastAsia" w:ascii="宋体" w:hAnsi="宋体"/>
                <w:szCs w:val="21"/>
              </w:rPr>
              <w:t>响应供应商所报的投标价在合同执行过程中是固定不变的，不得以任何理由予以变更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13.5</w:t>
            </w:r>
          </w:p>
        </w:tc>
        <w:tc>
          <w:tcPr>
            <w:tcW w:w="7944" w:type="dxa"/>
            <w:vAlign w:val="center"/>
          </w:tcPr>
          <w:p>
            <w:pPr>
              <w:adjustRightInd w:val="0"/>
              <w:snapToGrid w:val="0"/>
              <w:spacing w:line="276" w:lineRule="auto"/>
              <w:rPr>
                <w:rFonts w:ascii="宋体" w:hAnsi="宋体"/>
                <w:szCs w:val="21"/>
              </w:rPr>
            </w:pPr>
            <w:r>
              <w:rPr>
                <w:rFonts w:hint="eastAsia" w:ascii="宋体" w:hAnsi="宋体"/>
                <w:szCs w:val="21"/>
              </w:rPr>
              <w:t>不允许有备选方案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13.6</w:t>
            </w:r>
          </w:p>
        </w:tc>
        <w:tc>
          <w:tcPr>
            <w:tcW w:w="7944" w:type="dxa"/>
            <w:vAlign w:val="center"/>
          </w:tcPr>
          <w:p>
            <w:pPr>
              <w:adjustRightInd w:val="0"/>
              <w:snapToGrid w:val="0"/>
              <w:spacing w:line="276" w:lineRule="auto"/>
              <w:rPr>
                <w:rFonts w:ascii="宋体" w:hAnsi="宋体"/>
                <w:szCs w:val="21"/>
              </w:rPr>
            </w:pPr>
            <w:r>
              <w:rPr>
                <w:rFonts w:hint="eastAsia" w:ascii="宋体" w:hAnsi="宋体"/>
                <w:szCs w:val="21"/>
              </w:rPr>
              <w:t>不允许附加条件报价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19.1</w:t>
            </w:r>
          </w:p>
        </w:tc>
        <w:tc>
          <w:tcPr>
            <w:tcW w:w="7944" w:type="dxa"/>
            <w:vAlign w:val="center"/>
          </w:tcPr>
          <w:p>
            <w:pPr>
              <w:adjustRightInd w:val="0"/>
              <w:snapToGrid w:val="0"/>
              <w:spacing w:line="276" w:lineRule="auto"/>
              <w:rPr>
                <w:rFonts w:ascii="宋体" w:hAnsi="宋体"/>
                <w:szCs w:val="21"/>
              </w:rPr>
            </w:pPr>
            <w:r>
              <w:rPr>
                <w:rFonts w:ascii="宋体" w:hAnsi="宋体"/>
                <w:szCs w:val="21"/>
              </w:rPr>
              <w:t>谈判有效期：90天</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20.1</w:t>
            </w:r>
          </w:p>
        </w:tc>
        <w:tc>
          <w:tcPr>
            <w:tcW w:w="7944" w:type="dxa"/>
            <w:vAlign w:val="center"/>
          </w:tcPr>
          <w:p>
            <w:pPr>
              <w:adjustRightInd w:val="0"/>
              <w:snapToGrid w:val="0"/>
              <w:spacing w:line="276" w:lineRule="auto"/>
              <w:rPr>
                <w:rFonts w:ascii="宋体" w:hAnsi="宋体"/>
                <w:szCs w:val="21"/>
              </w:rPr>
            </w:pPr>
            <w:r>
              <w:rPr>
                <w:rFonts w:ascii="宋体" w:hAnsi="宋体"/>
                <w:szCs w:val="21"/>
              </w:rPr>
              <w:t>响应文件份数：正本</w:t>
            </w:r>
            <w:r>
              <w:rPr>
                <w:rFonts w:hint="eastAsia" w:ascii="宋体" w:hAnsi="宋体"/>
                <w:szCs w:val="21"/>
              </w:rPr>
              <w:t>一</w:t>
            </w:r>
            <w:r>
              <w:rPr>
                <w:rFonts w:ascii="宋体" w:hAnsi="宋体"/>
                <w:szCs w:val="21"/>
              </w:rPr>
              <w:t>份，副本</w:t>
            </w:r>
            <w:r>
              <w:rPr>
                <w:rFonts w:hint="eastAsia" w:ascii="宋体" w:hAnsi="宋体"/>
                <w:szCs w:val="21"/>
              </w:rPr>
              <w:t>三</w:t>
            </w:r>
            <w:r>
              <w:rPr>
                <w:rFonts w:ascii="宋体" w:hAnsi="宋体"/>
                <w:szCs w:val="21"/>
              </w:rPr>
              <w:t>份，电子文件</w:t>
            </w:r>
            <w:r>
              <w:rPr>
                <w:rFonts w:hint="eastAsia" w:ascii="宋体" w:hAnsi="宋体"/>
                <w:szCs w:val="21"/>
              </w:rPr>
              <w:t>一</w:t>
            </w:r>
            <w:r>
              <w:rPr>
                <w:rFonts w:ascii="宋体" w:hAnsi="宋体"/>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000" w:type="dxa"/>
            <w:gridSpan w:val="2"/>
            <w:vAlign w:val="center"/>
          </w:tcPr>
          <w:p>
            <w:pPr>
              <w:adjustRightInd w:val="0"/>
              <w:snapToGrid w:val="0"/>
              <w:spacing w:line="276" w:lineRule="auto"/>
              <w:jc w:val="center"/>
              <w:rPr>
                <w:rFonts w:ascii="宋体" w:hAnsi="宋体"/>
                <w:b/>
                <w:szCs w:val="21"/>
              </w:rPr>
            </w:pPr>
            <w:r>
              <w:rPr>
                <w:rFonts w:ascii="宋体" w:hAnsi="宋体"/>
                <w:b/>
                <w:szCs w:val="21"/>
              </w:rPr>
              <w:t>四、响应文件的递交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22.1</w:t>
            </w:r>
          </w:p>
        </w:tc>
        <w:tc>
          <w:tcPr>
            <w:tcW w:w="7944" w:type="dxa"/>
            <w:vAlign w:val="center"/>
          </w:tcPr>
          <w:p>
            <w:pPr>
              <w:adjustRightInd w:val="0"/>
              <w:snapToGrid w:val="0"/>
              <w:spacing w:line="276" w:lineRule="auto"/>
              <w:ind w:left="105" w:hanging="105"/>
              <w:rPr>
                <w:rFonts w:ascii="宋体" w:hAnsi="宋体"/>
                <w:szCs w:val="21"/>
              </w:rPr>
            </w:pPr>
            <w:r>
              <w:rPr>
                <w:rFonts w:ascii="宋体" w:hAnsi="宋体"/>
                <w:szCs w:val="21"/>
              </w:rPr>
              <w:t>响应文件递交</w:t>
            </w:r>
            <w:r>
              <w:rPr>
                <w:rFonts w:hint="eastAsia" w:ascii="宋体" w:hAnsi="宋体" w:cs="宋体"/>
                <w:szCs w:val="21"/>
                <w:lang w:eastAsia="zh-TW"/>
              </w:rPr>
              <w:t>截止日期和时间</w:t>
            </w:r>
            <w:r>
              <w:rPr>
                <w:rFonts w:hint="eastAsia" w:ascii="宋体" w:hAnsi="宋体" w:cs="宋体"/>
                <w:szCs w:val="21"/>
              </w:rPr>
              <w:t>、</w:t>
            </w:r>
            <w:r>
              <w:rPr>
                <w:rFonts w:hint="eastAsia" w:ascii="宋体" w:hAnsi="宋体"/>
                <w:szCs w:val="21"/>
              </w:rPr>
              <w:t>地址</w:t>
            </w:r>
            <w:r>
              <w:rPr>
                <w:rFonts w:ascii="宋体" w:hAnsi="宋体"/>
                <w:szCs w:val="21"/>
              </w:rPr>
              <w:t>：</w:t>
            </w:r>
            <w:r>
              <w:rPr>
                <w:rFonts w:hint="eastAsia" w:ascii="宋体" w:hAnsi="宋体"/>
                <w:szCs w:val="21"/>
              </w:rPr>
              <w:t>按谈判文件第一章规定。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000" w:type="dxa"/>
            <w:gridSpan w:val="2"/>
            <w:vAlign w:val="center"/>
          </w:tcPr>
          <w:p>
            <w:pPr>
              <w:adjustRightInd w:val="0"/>
              <w:snapToGrid w:val="0"/>
              <w:spacing w:line="276" w:lineRule="auto"/>
              <w:jc w:val="center"/>
              <w:rPr>
                <w:rFonts w:ascii="宋体" w:hAnsi="宋体"/>
                <w:szCs w:val="21"/>
              </w:rPr>
            </w:pPr>
            <w:r>
              <w:rPr>
                <w:rFonts w:ascii="宋体" w:hAnsi="宋体"/>
                <w:b/>
                <w:szCs w:val="21"/>
              </w:rPr>
              <w:t>五、</w:t>
            </w:r>
            <w:r>
              <w:rPr>
                <w:rFonts w:hint="eastAsia" w:ascii="宋体" w:hAnsi="宋体"/>
                <w:b/>
                <w:szCs w:val="21"/>
              </w:rPr>
              <w:t>竞争性谈判流程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24.1</w:t>
            </w:r>
          </w:p>
        </w:tc>
        <w:tc>
          <w:tcPr>
            <w:tcW w:w="7944" w:type="dxa"/>
            <w:vAlign w:val="center"/>
          </w:tcPr>
          <w:p>
            <w:pPr>
              <w:adjustRightInd w:val="0"/>
              <w:snapToGrid w:val="0"/>
              <w:spacing w:line="276" w:lineRule="auto"/>
              <w:rPr>
                <w:rFonts w:ascii="宋体" w:hAnsi="宋体"/>
                <w:szCs w:val="21"/>
              </w:rPr>
            </w:pPr>
            <w:r>
              <w:rPr>
                <w:rFonts w:hint="eastAsia" w:ascii="宋体" w:hAnsi="宋体"/>
                <w:szCs w:val="21"/>
              </w:rPr>
              <w:t>谈判日期、时间和地点：按谈判文件第一章规定。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25</w:t>
            </w:r>
            <w:r>
              <w:rPr>
                <w:rFonts w:ascii="宋体" w:hAnsi="宋体"/>
                <w:szCs w:val="21"/>
              </w:rPr>
              <w:t>.1</w:t>
            </w:r>
          </w:p>
        </w:tc>
        <w:tc>
          <w:tcPr>
            <w:tcW w:w="7944" w:type="dxa"/>
            <w:vAlign w:val="center"/>
          </w:tcPr>
          <w:p>
            <w:pPr>
              <w:adjustRightInd w:val="0"/>
              <w:snapToGrid w:val="0"/>
              <w:spacing w:line="276" w:lineRule="auto"/>
              <w:rPr>
                <w:rFonts w:ascii="宋体" w:cs="宋体"/>
                <w:kern w:val="0"/>
                <w:szCs w:val="21"/>
                <w:lang w:val="zh-CN"/>
              </w:rPr>
            </w:pPr>
            <w:r>
              <w:rPr>
                <w:rFonts w:hint="eastAsia" w:ascii="宋体" w:hAnsi="宋体" w:cs="宋体"/>
              </w:rPr>
              <w:t>本次谈判</w:t>
            </w:r>
            <w:r>
              <w:rPr>
                <w:rFonts w:hint="eastAsia" w:ascii="宋体" w:hAnsi="宋体" w:cs="宋体"/>
                <w:lang w:eastAsia="zh-TW"/>
              </w:rPr>
              <w:t>依法组建</w:t>
            </w:r>
            <w:r>
              <w:rPr>
                <w:rFonts w:hint="eastAsia" w:ascii="宋体" w:hAnsi="宋体" w:cs="宋体"/>
              </w:rPr>
              <w:t>谈判小组</w:t>
            </w:r>
            <w:r>
              <w:rPr>
                <w:rFonts w:hint="eastAsia" w:ascii="宋体" w:hAnsi="宋体" w:cs="宋体"/>
                <w:lang w:eastAsia="zh-TW"/>
              </w:rPr>
              <w:t>，</w:t>
            </w:r>
            <w:r>
              <w:rPr>
                <w:rFonts w:hint="eastAsia" w:ascii="宋体" w:hAnsi="宋体" w:cs="宋体"/>
              </w:rPr>
              <w:t>谈判</w:t>
            </w:r>
            <w:r>
              <w:rPr>
                <w:rFonts w:hint="eastAsia" w:ascii="宋体" w:hAnsi="宋体"/>
                <w:bCs/>
              </w:rPr>
              <w:t>小组人数</w:t>
            </w:r>
            <w:r>
              <w:rPr>
                <w:rFonts w:hint="eastAsia" w:ascii="宋体" w:hAnsi="宋体" w:cs="宋体"/>
                <w:lang w:val="zh-CN"/>
              </w:rPr>
              <w:t>为3名单数</w:t>
            </w:r>
            <w:r>
              <w:rPr>
                <w:rFonts w:hint="eastAsia" w:ascii="宋体" w:cs="宋体"/>
                <w:kern w:val="0"/>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27.1</w:t>
            </w:r>
          </w:p>
        </w:tc>
        <w:tc>
          <w:tcPr>
            <w:tcW w:w="7944" w:type="dxa"/>
            <w:vAlign w:val="center"/>
          </w:tcPr>
          <w:p>
            <w:pPr>
              <w:autoSpaceDE w:val="0"/>
              <w:autoSpaceDN w:val="0"/>
              <w:adjustRightInd w:val="0"/>
              <w:snapToGrid w:val="0"/>
              <w:spacing w:line="276" w:lineRule="auto"/>
              <w:jc w:val="left"/>
              <w:rPr>
                <w:rFonts w:ascii="宋体" w:hAnsi="宋体"/>
                <w:strike/>
                <w:szCs w:val="21"/>
              </w:rPr>
            </w:pPr>
            <w:r>
              <w:rPr>
                <w:rFonts w:hint="eastAsia" w:ascii="宋体" w:hAnsi="宋体"/>
                <w:bCs/>
              </w:rPr>
              <w:t>各包组</w:t>
            </w:r>
            <w:r>
              <w:rPr>
                <w:rFonts w:hint="eastAsia" w:ascii="宋体" w:hAnsi="宋体"/>
                <w:szCs w:val="21"/>
              </w:rPr>
              <w:t>按照最后报价由低到高的顺序推荐三名成交候选人。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000" w:type="dxa"/>
            <w:gridSpan w:val="2"/>
            <w:vAlign w:val="center"/>
          </w:tcPr>
          <w:p>
            <w:pPr>
              <w:adjustRightInd w:val="0"/>
              <w:snapToGrid w:val="0"/>
              <w:spacing w:line="400" w:lineRule="exact"/>
              <w:jc w:val="center"/>
              <w:rPr>
                <w:rFonts w:ascii="宋体" w:hAnsi="宋体"/>
                <w:szCs w:val="21"/>
              </w:rPr>
            </w:pPr>
            <w:r>
              <w:rPr>
                <w:rFonts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56" w:type="dxa"/>
            <w:vAlign w:val="center"/>
          </w:tcPr>
          <w:p>
            <w:pPr>
              <w:adjustRightInd w:val="0"/>
              <w:snapToGrid w:val="0"/>
              <w:spacing w:line="400" w:lineRule="exact"/>
              <w:jc w:val="center"/>
              <w:rPr>
                <w:rFonts w:ascii="宋体" w:hAnsi="宋体"/>
                <w:szCs w:val="21"/>
              </w:rPr>
            </w:pPr>
            <w:r>
              <w:rPr>
                <w:rFonts w:hint="eastAsia" w:ascii="宋体" w:hAnsi="宋体"/>
                <w:szCs w:val="21"/>
              </w:rPr>
              <w:t>32.1</w:t>
            </w:r>
          </w:p>
        </w:tc>
        <w:tc>
          <w:tcPr>
            <w:tcW w:w="7944" w:type="dxa"/>
            <w:vAlign w:val="center"/>
          </w:tcPr>
          <w:p>
            <w:pPr>
              <w:adjustRightInd w:val="0"/>
              <w:snapToGrid w:val="0"/>
              <w:spacing w:line="400" w:lineRule="exact"/>
              <w:rPr>
                <w:rFonts w:ascii="宋体" w:hAnsi="宋体"/>
                <w:szCs w:val="21"/>
              </w:rPr>
            </w:pPr>
            <w:r>
              <w:rPr>
                <w:rFonts w:hint="eastAsia" w:ascii="宋体" w:hAnsi="宋体"/>
                <w:szCs w:val="21"/>
              </w:rPr>
              <w:t>合同签订时间：自《成交通知书》发出之日起三十日内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00" w:type="dxa"/>
            <w:gridSpan w:val="2"/>
            <w:vAlign w:val="center"/>
          </w:tcPr>
          <w:p>
            <w:pPr>
              <w:adjustRightInd w:val="0"/>
              <w:snapToGrid w:val="0"/>
              <w:spacing w:line="276" w:lineRule="auto"/>
              <w:ind w:left="420"/>
              <w:jc w:val="center"/>
              <w:rPr>
                <w:rFonts w:ascii="宋体" w:hAnsi="宋体"/>
                <w:szCs w:val="21"/>
              </w:rPr>
            </w:pPr>
            <w:r>
              <w:rPr>
                <w:rFonts w:hint="eastAsia" w:ascii="宋体" w:hAnsi="宋体"/>
                <w:b/>
                <w:szCs w:val="21"/>
              </w:rPr>
              <w:t>其他说明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56" w:type="dxa"/>
            <w:vAlign w:val="center"/>
          </w:tcPr>
          <w:p>
            <w:pPr>
              <w:jc w:val="center"/>
              <w:rPr>
                <w:rFonts w:ascii="宋体" w:hAnsi="宋体"/>
                <w:szCs w:val="21"/>
              </w:rPr>
            </w:pPr>
            <w:r>
              <w:rPr>
                <w:rFonts w:hint="eastAsia" w:ascii="宋体" w:hAnsi="宋体"/>
                <w:szCs w:val="21"/>
              </w:rPr>
              <w:t>/</w:t>
            </w:r>
          </w:p>
        </w:tc>
        <w:tc>
          <w:tcPr>
            <w:tcW w:w="7944" w:type="dxa"/>
            <w:vAlign w:val="center"/>
          </w:tcPr>
          <w:p>
            <w:pPr>
              <w:adjustRightInd w:val="0"/>
              <w:snapToGrid w:val="0"/>
              <w:rPr>
                <w:rFonts w:ascii="宋体" w:hAnsi="宋体" w:cs="宋体"/>
                <w:szCs w:val="21"/>
              </w:rPr>
            </w:pPr>
            <w:r>
              <w:rPr>
                <w:rFonts w:hint="eastAsia" w:ascii="宋体" w:hAnsi="宋体"/>
                <w:bCs/>
                <w:szCs w:val="20"/>
              </w:rPr>
              <w:t>本项目相关公告在以下媒体发布:</w:t>
            </w:r>
          </w:p>
          <w:p>
            <w:pPr>
              <w:adjustRightInd w:val="0"/>
              <w:snapToGrid w:val="0"/>
              <w:rPr>
                <w:rFonts w:ascii="宋体" w:hAnsi="宋体"/>
                <w:szCs w:val="21"/>
              </w:rPr>
            </w:pPr>
            <w:r>
              <w:rPr>
                <w:rFonts w:hint="eastAsia" w:ascii="宋体" w:hAnsi="宋体"/>
                <w:szCs w:val="21"/>
              </w:rPr>
              <w:t>1、采购代理机构网站（www.chinapsp.cn）。</w:t>
            </w:r>
          </w:p>
          <w:p>
            <w:pPr>
              <w:adjustRightInd w:val="0"/>
              <w:snapToGrid w:val="0"/>
              <w:rPr>
                <w:rFonts w:ascii="宋体" w:hAnsi="宋体"/>
                <w:szCs w:val="21"/>
              </w:rPr>
            </w:pPr>
            <w:r>
              <w:rPr>
                <w:rFonts w:hint="eastAsia" w:ascii="宋体" w:hAnsi="宋体"/>
                <w:szCs w:val="21"/>
              </w:rPr>
              <w:t>2、法定媒体：国家税务总局深圳市税务局官网（https://shenzhen.chinatax.gov.cn/）。相关公告在法定媒体上公布之日即视为有效送达，不再另行通知。</w:t>
            </w:r>
          </w:p>
        </w:tc>
      </w:tr>
    </w:tbl>
    <w:p>
      <w:pPr>
        <w:spacing w:line="360" w:lineRule="auto"/>
      </w:pPr>
    </w:p>
    <w:p>
      <w:pPr>
        <w:snapToGrid w:val="0"/>
        <w:spacing w:line="360" w:lineRule="auto"/>
        <w:jc w:val="center"/>
        <w:outlineLvl w:val="0"/>
        <w:rPr>
          <w:b/>
          <w:bCs/>
          <w:sz w:val="28"/>
          <w:szCs w:val="28"/>
        </w:rPr>
      </w:pPr>
      <w:r>
        <w:br w:type="page"/>
      </w:r>
      <w:bookmarkStart w:id="3" w:name="_Toc27128618"/>
      <w:r>
        <w:rPr>
          <w:rFonts w:hint="eastAsia"/>
          <w:b/>
          <w:bCs/>
          <w:sz w:val="28"/>
          <w:szCs w:val="28"/>
        </w:rPr>
        <w:t>第三章评审标准</w:t>
      </w:r>
      <w:bookmarkEnd w:id="3"/>
    </w:p>
    <w:p>
      <w:pPr>
        <w:numPr>
          <w:ilvl w:val="0"/>
          <w:numId w:val="10"/>
        </w:numPr>
        <w:tabs>
          <w:tab w:val="left" w:pos="630"/>
        </w:tabs>
        <w:autoSpaceDE w:val="0"/>
        <w:autoSpaceDN w:val="0"/>
        <w:adjustRightInd w:val="0"/>
        <w:spacing w:line="360" w:lineRule="auto"/>
        <w:rPr>
          <w:rFonts w:ascii="宋体" w:cs="宋体"/>
          <w:szCs w:val="21"/>
        </w:rPr>
      </w:pPr>
      <w:r>
        <w:rPr>
          <w:rFonts w:hint="eastAsia" w:ascii="宋体" w:hAnsi="宋体" w:cs="宋体"/>
          <w:szCs w:val="21"/>
        </w:rPr>
        <w:t>本项目比照最低评标价法。</w:t>
      </w:r>
    </w:p>
    <w:p>
      <w:pPr>
        <w:numPr>
          <w:ilvl w:val="0"/>
          <w:numId w:val="10"/>
        </w:numPr>
        <w:tabs>
          <w:tab w:val="left" w:pos="630"/>
        </w:tabs>
        <w:autoSpaceDE w:val="0"/>
        <w:autoSpaceDN w:val="0"/>
        <w:adjustRightInd w:val="0"/>
        <w:spacing w:line="360" w:lineRule="auto"/>
        <w:rPr>
          <w:rFonts w:ascii="宋体" w:hAnsi="宋体" w:cs="宋体"/>
          <w:szCs w:val="21"/>
        </w:rPr>
      </w:pPr>
      <w:r>
        <w:rPr>
          <w:rFonts w:hint="eastAsia" w:ascii="宋体" w:hAnsi="宋体" w:cs="宋体"/>
          <w:szCs w:val="21"/>
          <w:lang w:eastAsia="zh-TW"/>
        </w:rPr>
        <w:t>谈判小组对响应文件进行资格性、符合性评审，</w:t>
      </w:r>
      <w:r>
        <w:rPr>
          <w:rFonts w:hint="eastAsia" w:ascii="宋体" w:hAnsi="宋体" w:cs="宋体"/>
          <w:szCs w:val="21"/>
        </w:rPr>
        <w:t>具体条款见《资格、符合性评审表》。</w:t>
      </w:r>
    </w:p>
    <w:p>
      <w:pPr>
        <w:numPr>
          <w:ilvl w:val="0"/>
          <w:numId w:val="10"/>
        </w:numPr>
        <w:tabs>
          <w:tab w:val="left" w:pos="630"/>
          <w:tab w:val="left" w:pos="1545"/>
        </w:tabs>
        <w:autoSpaceDE w:val="0"/>
        <w:autoSpaceDN w:val="0"/>
        <w:adjustRightInd w:val="0"/>
        <w:spacing w:line="360" w:lineRule="auto"/>
        <w:rPr>
          <w:rFonts w:ascii="宋体" w:hAnsi="宋体" w:cs="宋体"/>
          <w:szCs w:val="21"/>
          <w:lang w:eastAsia="zh-TW"/>
        </w:rPr>
      </w:pPr>
      <w:r>
        <w:rPr>
          <w:rFonts w:hint="eastAsia" w:ascii="宋体" w:hAnsi="宋体" w:cs="宋体"/>
          <w:szCs w:val="21"/>
          <w:lang w:eastAsia="zh-TW"/>
        </w:rPr>
        <w:t>谈判小组对响应供应商提供的最后报价进行评审，</w:t>
      </w:r>
      <w:r>
        <w:rPr>
          <w:rFonts w:hint="eastAsia" w:ascii="宋体" w:hAnsi="宋体"/>
          <w:bCs/>
        </w:rPr>
        <w:t>对小型和微型企业产品的价格给予扣除，</w:t>
      </w:r>
      <w:r>
        <w:rPr>
          <w:rFonts w:hint="eastAsia" w:ascii="宋体" w:hAnsi="宋体" w:cs="宋体"/>
          <w:szCs w:val="21"/>
          <w:lang w:eastAsia="zh-TW"/>
        </w:rPr>
        <w:t>具体详见《小型和微型企业产品价格扣除条款》。</w:t>
      </w:r>
    </w:p>
    <w:p>
      <w:pPr>
        <w:adjustRightInd w:val="0"/>
        <w:snapToGrid w:val="0"/>
        <w:spacing w:beforeLines="50" w:afterLines="50" w:line="360" w:lineRule="auto"/>
        <w:jc w:val="center"/>
        <w:outlineLvl w:val="2"/>
        <w:rPr>
          <w:rFonts w:ascii="黑体" w:hAnsi="宋体" w:eastAsia="黑体" w:cs="宋体"/>
          <w:sz w:val="28"/>
          <w:szCs w:val="28"/>
        </w:rPr>
      </w:pPr>
      <w:r>
        <w:rPr>
          <w:rFonts w:hint="eastAsia" w:ascii="黑体" w:hAnsi="宋体" w:eastAsia="黑体" w:cs="宋体"/>
          <w:sz w:val="28"/>
          <w:szCs w:val="28"/>
        </w:rPr>
        <w:t>资格、符合性评审表</w:t>
      </w:r>
    </w:p>
    <w:tbl>
      <w:tblPr>
        <w:tblStyle w:val="30"/>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9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91" w:type="dxa"/>
            <w:tcBorders>
              <w:top w:val="single" w:color="auto" w:sz="12" w:space="0"/>
              <w:left w:val="single" w:color="auto" w:sz="12" w:space="0"/>
            </w:tcBorders>
            <w:vAlign w:val="center"/>
          </w:tcPr>
          <w:p>
            <w:pPr>
              <w:snapToGrid w:val="0"/>
              <w:jc w:val="center"/>
              <w:rPr>
                <w:b/>
              </w:rPr>
            </w:pPr>
            <w:r>
              <w:rPr>
                <w:rFonts w:hint="eastAsia"/>
                <w:b/>
              </w:rPr>
              <w:t>序号</w:t>
            </w:r>
          </w:p>
        </w:tc>
        <w:tc>
          <w:tcPr>
            <w:tcW w:w="9028" w:type="dxa"/>
            <w:tcBorders>
              <w:top w:val="single" w:color="auto" w:sz="12" w:space="0"/>
              <w:right w:val="single" w:color="auto" w:sz="12" w:space="0"/>
            </w:tcBorders>
            <w:vAlign w:val="center"/>
          </w:tcPr>
          <w:p>
            <w:pPr>
              <w:snapToGrid w:val="0"/>
              <w:jc w:val="center"/>
              <w:rPr>
                <w:b/>
              </w:rPr>
            </w:pPr>
            <w:r>
              <w:rPr>
                <w:rFonts w:hint="eastAsia"/>
                <w:b/>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91" w:type="dxa"/>
            <w:tcBorders>
              <w:top w:val="single" w:color="auto" w:sz="12" w:space="0"/>
              <w:left w:val="single" w:color="auto" w:sz="12" w:space="0"/>
            </w:tcBorders>
            <w:vAlign w:val="center"/>
          </w:tcPr>
          <w:p>
            <w:pPr>
              <w:numPr>
                <w:ilvl w:val="0"/>
                <w:numId w:val="11"/>
              </w:numPr>
              <w:tabs>
                <w:tab w:val="left" w:pos="223"/>
              </w:tabs>
              <w:snapToGrid w:val="0"/>
              <w:jc w:val="center"/>
              <w:rPr>
                <w:rFonts w:ascii="宋体" w:hAnsi="宋体"/>
                <w:b/>
              </w:rPr>
            </w:pPr>
          </w:p>
        </w:tc>
        <w:tc>
          <w:tcPr>
            <w:tcW w:w="9028" w:type="dxa"/>
            <w:tcBorders>
              <w:top w:val="single" w:color="auto" w:sz="12" w:space="0"/>
              <w:right w:val="single" w:color="auto" w:sz="12" w:space="0"/>
            </w:tcBorders>
            <w:vAlign w:val="center"/>
          </w:tcPr>
          <w:p>
            <w:pPr>
              <w:rPr>
                <w:rFonts w:ascii="宋体" w:hAnsi="宋体" w:cs="宋体"/>
              </w:rPr>
            </w:pPr>
            <w:r>
              <w:rPr>
                <w:rFonts w:hint="eastAsia" w:ascii="宋体" w:hAnsi="宋体" w:cs="宋体"/>
              </w:rPr>
              <w:t>具备谈判文件中规定资格要求的及资格证明文件齐全；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vAlign w:val="center"/>
          </w:tcPr>
          <w:p>
            <w:pPr>
              <w:numPr>
                <w:ilvl w:val="0"/>
                <w:numId w:val="11"/>
              </w:numPr>
              <w:tabs>
                <w:tab w:val="left" w:pos="223"/>
              </w:tabs>
              <w:snapToGrid w:val="0"/>
              <w:jc w:val="center"/>
              <w:rPr>
                <w:rFonts w:ascii="宋体" w:hAnsi="宋体"/>
                <w:b/>
              </w:rPr>
            </w:pPr>
          </w:p>
        </w:tc>
        <w:tc>
          <w:tcPr>
            <w:tcW w:w="9028" w:type="dxa"/>
            <w:tcBorders>
              <w:right w:val="single" w:color="auto" w:sz="12" w:space="0"/>
            </w:tcBorders>
            <w:vAlign w:val="center"/>
          </w:tcPr>
          <w:p>
            <w:pPr>
              <w:rPr>
                <w:rFonts w:ascii="宋体" w:hAnsi="宋体" w:cs="宋体"/>
              </w:rPr>
            </w:pPr>
            <w:r>
              <w:rPr>
                <w:rFonts w:hint="eastAsia" w:ascii="宋体" w:hAnsi="宋体" w:cs="宋体"/>
              </w:rPr>
              <w:t>谈判函已提交并符合谈判文件要求的；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91" w:type="dxa"/>
            <w:tcBorders>
              <w:left w:val="single" w:color="auto" w:sz="12" w:space="0"/>
            </w:tcBorders>
            <w:vAlign w:val="center"/>
          </w:tcPr>
          <w:p>
            <w:pPr>
              <w:numPr>
                <w:ilvl w:val="0"/>
                <w:numId w:val="11"/>
              </w:numPr>
              <w:tabs>
                <w:tab w:val="left" w:pos="223"/>
              </w:tabs>
              <w:snapToGrid w:val="0"/>
              <w:jc w:val="center"/>
              <w:rPr>
                <w:rFonts w:ascii="宋体" w:hAnsi="宋体"/>
                <w:b/>
              </w:rPr>
            </w:pPr>
          </w:p>
        </w:tc>
        <w:tc>
          <w:tcPr>
            <w:tcW w:w="9028" w:type="dxa"/>
            <w:tcBorders>
              <w:right w:val="single" w:color="auto" w:sz="12" w:space="0"/>
            </w:tcBorders>
            <w:vAlign w:val="center"/>
          </w:tcPr>
          <w:p>
            <w:pPr>
              <w:ind w:left="10" w:hanging="10" w:hangingChars="5"/>
              <w:rPr>
                <w:rFonts w:ascii="宋体" w:hAnsi="宋体" w:cs="宋体"/>
              </w:rPr>
            </w:pPr>
            <w:r>
              <w:rPr>
                <w:rFonts w:hint="eastAsia" w:ascii="宋体" w:hAnsi="宋体" w:cs="宋体"/>
              </w:rPr>
              <w:t>按照谈判文件规定要求签署、盖章且响应文件有法定代表人签字或盖章，或签字人有法定代表人有效授权书的；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vAlign w:val="center"/>
          </w:tcPr>
          <w:p>
            <w:pPr>
              <w:numPr>
                <w:ilvl w:val="0"/>
                <w:numId w:val="11"/>
              </w:numPr>
              <w:tabs>
                <w:tab w:val="left" w:pos="223"/>
              </w:tabs>
              <w:snapToGrid w:val="0"/>
              <w:jc w:val="center"/>
              <w:rPr>
                <w:rFonts w:ascii="宋体" w:hAnsi="宋体"/>
                <w:b/>
              </w:rPr>
            </w:pPr>
          </w:p>
        </w:tc>
        <w:tc>
          <w:tcPr>
            <w:tcW w:w="9028" w:type="dxa"/>
            <w:tcBorders>
              <w:right w:val="single" w:color="auto" w:sz="12" w:space="0"/>
            </w:tcBorders>
            <w:vAlign w:val="center"/>
          </w:tcPr>
          <w:p>
            <w:pPr>
              <w:ind w:left="315" w:hanging="315" w:hangingChars="150"/>
              <w:rPr>
                <w:rFonts w:ascii="宋体" w:hAnsi="宋体" w:cs="宋体"/>
              </w:rPr>
            </w:pPr>
            <w:r>
              <w:rPr>
                <w:rFonts w:hint="eastAsia" w:ascii="宋体" w:hAnsi="宋体" w:cs="宋体"/>
              </w:rPr>
              <w:t>最后报价下浮率报价没有大于或等于100%，也没有为负数，且是固定唯一值的；</w:t>
            </w:r>
          </w:p>
          <w:p>
            <w:pPr>
              <w:ind w:left="315" w:hanging="315" w:hangingChars="150"/>
              <w:rPr>
                <w:rFonts w:ascii="宋体" w:hAnsi="宋体" w:cs="宋体"/>
              </w:rPr>
            </w:pPr>
            <w:r>
              <w:rPr>
                <w:rFonts w:hint="eastAsia" w:ascii="宋体" w:hAnsi="宋体" w:cs="宋体"/>
              </w:rPr>
              <w:t>注：本项评审在最后报价后进行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vAlign w:val="center"/>
          </w:tcPr>
          <w:p>
            <w:pPr>
              <w:numPr>
                <w:ilvl w:val="0"/>
                <w:numId w:val="11"/>
              </w:numPr>
              <w:tabs>
                <w:tab w:val="left" w:pos="223"/>
              </w:tabs>
              <w:snapToGrid w:val="0"/>
              <w:jc w:val="center"/>
              <w:rPr>
                <w:rFonts w:ascii="宋体" w:hAnsi="宋体"/>
                <w:b/>
              </w:rPr>
            </w:pPr>
          </w:p>
        </w:tc>
        <w:tc>
          <w:tcPr>
            <w:tcW w:w="9028" w:type="dxa"/>
            <w:tcBorders>
              <w:right w:val="single" w:color="auto" w:sz="12" w:space="0"/>
            </w:tcBorders>
            <w:vAlign w:val="center"/>
          </w:tcPr>
          <w:p>
            <w:pPr>
              <w:rPr>
                <w:rFonts w:ascii="宋体" w:hAnsi="宋体" w:cs="宋体"/>
              </w:rPr>
            </w:pPr>
            <w:r>
              <w:rPr>
                <w:rFonts w:hint="eastAsia" w:ascii="宋体" w:hAnsi="宋体" w:cs="宋体"/>
              </w:rPr>
              <w:t>响应文件没有谈判文件中规定的其它无效响应条款的；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vAlign w:val="center"/>
          </w:tcPr>
          <w:p>
            <w:pPr>
              <w:numPr>
                <w:ilvl w:val="0"/>
                <w:numId w:val="11"/>
              </w:numPr>
              <w:tabs>
                <w:tab w:val="left" w:pos="223"/>
              </w:tabs>
              <w:snapToGrid w:val="0"/>
              <w:jc w:val="center"/>
              <w:rPr>
                <w:rFonts w:ascii="宋体" w:hAnsi="宋体"/>
                <w:b/>
              </w:rPr>
            </w:pPr>
          </w:p>
        </w:tc>
        <w:tc>
          <w:tcPr>
            <w:tcW w:w="9028" w:type="dxa"/>
            <w:tcBorders>
              <w:right w:val="single" w:color="auto" w:sz="12" w:space="0"/>
            </w:tcBorders>
            <w:vAlign w:val="center"/>
          </w:tcPr>
          <w:p>
            <w:pPr>
              <w:rPr>
                <w:rFonts w:ascii="宋体" w:hAnsi="宋体" w:cs="宋体"/>
              </w:rPr>
            </w:pPr>
            <w:r>
              <w:rPr>
                <w:rFonts w:hint="eastAsia" w:ascii="宋体" w:hAnsi="宋体" w:cs="宋体"/>
              </w:rPr>
              <w:t>按有关法律、法规、规章不属于无效响应的。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719" w:type="dxa"/>
            <w:gridSpan w:val="2"/>
            <w:tcBorders>
              <w:left w:val="single" w:color="auto" w:sz="12" w:space="0"/>
              <w:bottom w:val="single" w:color="auto" w:sz="12" w:space="0"/>
              <w:right w:val="single" w:color="auto" w:sz="12" w:space="0"/>
            </w:tcBorders>
            <w:vAlign w:val="center"/>
          </w:tcPr>
          <w:p>
            <w:pPr>
              <w:snapToGrid w:val="0"/>
              <w:rPr>
                <w:rFonts w:ascii="宋体" w:hAnsi="宋体"/>
                <w:szCs w:val="21"/>
              </w:rPr>
            </w:pPr>
            <w:r>
              <w:rPr>
                <w:rFonts w:hint="eastAsia" w:ascii="宋体" w:hAnsi="宋体"/>
                <w:szCs w:val="21"/>
              </w:rPr>
              <w:t>备注：</w:t>
            </w:r>
          </w:p>
          <w:p>
            <w:pPr>
              <w:snapToGrid w:val="0"/>
              <w:rPr>
                <w:rFonts w:ascii="宋体" w:hAnsi="宋体" w:cs="宋体"/>
              </w:rPr>
            </w:pPr>
            <w:r>
              <w:rPr>
                <w:rFonts w:hint="eastAsia" w:ascii="宋体" w:hAnsi="宋体"/>
                <w:kern w:val="0"/>
                <w:szCs w:val="21"/>
              </w:rPr>
              <w:t>1.</w:t>
            </w:r>
            <w:r>
              <w:rPr>
                <w:rFonts w:hint="eastAsia" w:ascii="宋体" w:hAnsi="宋体"/>
                <w:kern w:val="0"/>
              </w:rPr>
              <w:t>响应供应商必须严格按照资格、符合性评审条款的要求如实提供证明材料</w:t>
            </w:r>
            <w:r>
              <w:rPr>
                <w:rFonts w:hint="eastAsia" w:ascii="宋体" w:hAnsi="宋体"/>
                <w:bCs/>
                <w:kern w:val="0"/>
              </w:rPr>
              <w:t>并应加盖响应供应商公章</w:t>
            </w:r>
            <w:r>
              <w:rPr>
                <w:rFonts w:hint="eastAsia" w:ascii="宋体" w:hAnsi="宋体"/>
                <w:kern w:val="0"/>
              </w:rPr>
              <w:t>，对缺漏或不符合项将直接导致无效响应。不通过资格、符合性审查的响应供应商，不进入价格评审。</w:t>
            </w:r>
          </w:p>
        </w:tc>
      </w:tr>
    </w:tbl>
    <w:p>
      <w:pPr>
        <w:spacing w:beforeLines="100" w:afterLines="100"/>
        <w:rPr>
          <w:b/>
          <w:sz w:val="24"/>
        </w:rPr>
      </w:pPr>
    </w:p>
    <w:p>
      <w:pPr>
        <w:adjustRightInd w:val="0"/>
        <w:snapToGrid w:val="0"/>
        <w:spacing w:beforeLines="50" w:afterLines="50" w:line="360" w:lineRule="auto"/>
        <w:jc w:val="center"/>
        <w:outlineLvl w:val="2"/>
        <w:rPr>
          <w:rFonts w:hAnsi="宋体" w:cs="宋体"/>
          <w:b/>
          <w:sz w:val="24"/>
        </w:rPr>
      </w:pPr>
      <w:r>
        <w:rPr>
          <w:b/>
          <w:sz w:val="24"/>
        </w:rPr>
        <w:br w:type="page"/>
      </w:r>
      <w:r>
        <w:rPr>
          <w:rFonts w:hint="eastAsia" w:ascii="黑体" w:hAnsi="宋体" w:eastAsia="黑体" w:cs="宋体"/>
          <w:sz w:val="28"/>
          <w:szCs w:val="28"/>
        </w:rPr>
        <w:t>价 格 评 审</w:t>
      </w:r>
    </w:p>
    <w:p>
      <w:pPr>
        <w:numPr>
          <w:ilvl w:val="0"/>
          <w:numId w:val="12"/>
        </w:numPr>
        <w:adjustRightInd w:val="0"/>
        <w:snapToGrid w:val="0"/>
        <w:spacing w:line="360" w:lineRule="auto"/>
        <w:rPr>
          <w:rFonts w:ascii="宋体" w:hAnsi="宋体"/>
          <w:bCs/>
        </w:rPr>
      </w:pPr>
      <w:r>
        <w:rPr>
          <w:rFonts w:hint="eastAsia" w:ascii="宋体" w:hAnsi="宋体"/>
          <w:bCs/>
        </w:rPr>
        <w:t>价格核准：</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响应文件报价出现前后不一致的，</w:t>
      </w:r>
      <w:r>
        <w:rPr>
          <w:rFonts w:hint="eastAsia" w:ascii="宋体" w:hAnsi="宋体" w:cs="宋体"/>
          <w:szCs w:val="21"/>
        </w:rPr>
        <w:t>谈判</w:t>
      </w:r>
      <w:r>
        <w:rPr>
          <w:rFonts w:hint="eastAsia" w:ascii="宋体" w:hAnsi="宋体" w:cs="宋体"/>
          <w:szCs w:val="21"/>
          <w:lang w:eastAsia="zh-TW"/>
        </w:rPr>
        <w:t>小组按照下列规定修正：</w:t>
      </w:r>
    </w:p>
    <w:p>
      <w:pPr>
        <w:numPr>
          <w:ilvl w:val="2"/>
          <w:numId w:val="13"/>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响应文件中开标一览表（报价表）内容与响应文件中相应内容不一致的，以开标一览表（报价表）为准；</w:t>
      </w:r>
    </w:p>
    <w:p>
      <w:pPr>
        <w:numPr>
          <w:ilvl w:val="2"/>
          <w:numId w:val="13"/>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大写金额和小写金额不一致的，以大写金额为准；</w:t>
      </w:r>
    </w:p>
    <w:p>
      <w:pPr>
        <w:numPr>
          <w:ilvl w:val="2"/>
          <w:numId w:val="13"/>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单价金额小数点或者百分比有明显错位的，以开标一览表的总价为准，并修改单价；</w:t>
      </w:r>
    </w:p>
    <w:p>
      <w:pPr>
        <w:numPr>
          <w:ilvl w:val="2"/>
          <w:numId w:val="13"/>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总价金额与按单价汇总金额不一致的，以单价金额计算结果为准。</w:t>
      </w:r>
    </w:p>
    <w:p>
      <w:pPr>
        <w:snapToGrid w:val="0"/>
        <w:spacing w:line="360" w:lineRule="auto"/>
        <w:ind w:firstLine="315" w:firstLineChars="150"/>
        <w:rPr>
          <w:rFonts w:ascii="宋体" w:hAnsi="宋体" w:cs="宋体"/>
          <w:szCs w:val="21"/>
        </w:rPr>
      </w:pPr>
      <w:r>
        <w:rPr>
          <w:rFonts w:hint="eastAsia" w:ascii="宋体" w:hAnsi="宋体" w:cs="宋体"/>
          <w:szCs w:val="21"/>
          <w:lang w:eastAsia="zh-TW"/>
        </w:rPr>
        <w:t>同时出现两种以上不一致的，按照前款规定的顺序修正。谈判小组按上述修正误差的原则调整的价格对其响应供应商具有约束力。如果响应供应商不接受修正后的价格，其报价将被拒绝。</w:t>
      </w:r>
    </w:p>
    <w:p>
      <w:pPr>
        <w:numPr>
          <w:ilvl w:val="0"/>
          <w:numId w:val="12"/>
        </w:numPr>
        <w:adjustRightInd w:val="0"/>
        <w:snapToGrid w:val="0"/>
        <w:spacing w:line="360" w:lineRule="auto"/>
      </w:pPr>
      <w:r>
        <w:rPr>
          <w:rFonts w:hint="eastAsia"/>
        </w:rPr>
        <w:t>小型和微型企业产品价格扣除</w:t>
      </w:r>
    </w:p>
    <w:p>
      <w:pPr>
        <w:numPr>
          <w:ilvl w:val="1"/>
          <w:numId w:val="12"/>
        </w:numPr>
        <w:adjustRightInd w:val="0"/>
        <w:snapToGrid w:val="0"/>
        <w:spacing w:line="360" w:lineRule="auto"/>
      </w:pPr>
      <w:r>
        <w:rPr>
          <w:rFonts w:hint="eastAsia" w:ascii="宋体" w:hAnsi="宋体"/>
          <w:bCs/>
        </w:rPr>
        <w:t>根据财政部、工业和信息化部印发的《政府采购促进中小企业发展暂行办法》（财库[2011]181号）的规定，对小型和微型企业产品的价格给予6%的扣除，用扣除后的价格参与评审；投标产品中仅有部分小型和微型企业产品的，则此部分按所投小型和微型企业产品的价格予以扣除。</w:t>
      </w:r>
    </w:p>
    <w:p>
      <w:pPr>
        <w:numPr>
          <w:ilvl w:val="1"/>
          <w:numId w:val="12"/>
        </w:numPr>
        <w:adjustRightInd w:val="0"/>
        <w:snapToGrid w:val="0"/>
        <w:spacing w:line="360" w:lineRule="auto"/>
        <w:rPr>
          <w:rFonts w:ascii="宋体" w:hAnsi="宋体"/>
          <w:bCs/>
        </w:rPr>
      </w:pPr>
      <w:r>
        <w:rPr>
          <w:rFonts w:hint="eastAsia" w:ascii="宋体" w:hAnsi="宋体"/>
          <w:bCs/>
        </w:rPr>
        <w:t>《政府采购促进中小企业发展暂行办法》所称中小企业（含中型、小型、微型企业，下同）应当同时符合以下条件：</w:t>
      </w:r>
    </w:p>
    <w:p>
      <w:pPr>
        <w:numPr>
          <w:ilvl w:val="2"/>
          <w:numId w:val="12"/>
        </w:numPr>
        <w:adjustRightInd w:val="0"/>
        <w:snapToGrid w:val="0"/>
        <w:spacing w:line="360" w:lineRule="auto"/>
        <w:rPr>
          <w:rFonts w:ascii="宋体" w:hAnsi="宋体"/>
          <w:bCs/>
        </w:rPr>
      </w:pPr>
      <w:r>
        <w:rPr>
          <w:rFonts w:hint="eastAsia" w:ascii="宋体" w:hAnsi="宋体"/>
          <w:bCs/>
        </w:rPr>
        <w:t xml:space="preserve">符合中小企业划分标准； </w:t>
      </w:r>
    </w:p>
    <w:p>
      <w:pPr>
        <w:numPr>
          <w:ilvl w:val="2"/>
          <w:numId w:val="12"/>
        </w:numPr>
        <w:adjustRightInd w:val="0"/>
        <w:snapToGrid w:val="0"/>
        <w:spacing w:line="360" w:lineRule="auto"/>
        <w:rPr>
          <w:rFonts w:ascii="宋体" w:hAnsi="宋体"/>
          <w:bCs/>
        </w:rPr>
      </w:pPr>
      <w:r>
        <w:rPr>
          <w:rFonts w:hint="eastAsia" w:ascii="宋体" w:hAnsi="宋体"/>
          <w:bCs/>
        </w:rPr>
        <w:t>提供本企业制造的货物、承担的工程或者服务，或者提供其他中小企业制造的货物。本项所称货物不包括使用大型企业注册商标的货物。</w:t>
      </w:r>
    </w:p>
    <w:p>
      <w:pPr>
        <w:adjustRightInd w:val="0"/>
        <w:snapToGrid w:val="0"/>
        <w:spacing w:line="360" w:lineRule="auto"/>
        <w:ind w:left="735" w:leftChars="350" w:firstLine="420" w:firstLineChars="200"/>
        <w:rPr>
          <w:rFonts w:ascii="宋体" w:hAnsi="宋体"/>
          <w:bCs/>
        </w:rPr>
      </w:pPr>
      <w:r>
        <w:rPr>
          <w:rFonts w:hint="eastAsia" w:ascii="宋体" w:hAnsi="宋体"/>
          <w:bCs/>
        </w:rPr>
        <w:t>中小企业划分标准以《工业和信息化部、国家统计局、国家发展和改革委员会、财政部关于印发中小企业划型标准规定的通知》（工信部联企业[2011]300号）规定的划分标准为准。</w:t>
      </w:r>
    </w:p>
    <w:p>
      <w:pPr>
        <w:adjustRightInd w:val="0"/>
        <w:snapToGrid w:val="0"/>
        <w:spacing w:line="360" w:lineRule="auto"/>
        <w:ind w:left="315" w:leftChars="150" w:firstLine="420" w:firstLineChars="200"/>
        <w:rPr>
          <w:rFonts w:ascii="宋体" w:hAnsi="宋体"/>
          <w:bCs/>
        </w:rPr>
      </w:pPr>
      <w:r>
        <w:rPr>
          <w:rFonts w:hint="eastAsia" w:ascii="宋体" w:hAnsi="宋体"/>
          <w:bCs/>
        </w:rPr>
        <w:t>小型、微型企业提供中型企业制造的货物的，视同为中型企业。</w:t>
      </w:r>
    </w:p>
    <w:p>
      <w:pPr>
        <w:numPr>
          <w:ilvl w:val="1"/>
          <w:numId w:val="12"/>
        </w:numPr>
        <w:adjustRightInd w:val="0"/>
        <w:snapToGrid w:val="0"/>
        <w:spacing w:line="360" w:lineRule="auto"/>
        <w:rPr>
          <w:rFonts w:ascii="宋体" w:hAnsi="宋体"/>
          <w:bCs/>
        </w:rPr>
      </w:pPr>
      <w:r>
        <w:rPr>
          <w:rFonts w:hint="eastAsia" w:ascii="宋体" w:hAnsi="宋体"/>
          <w:bCs/>
        </w:rPr>
        <w:t>参加政府采购活动的中小企业应当提供《中小企业声明函》（格式见第六章响应文件格式），</w:t>
      </w:r>
      <w:r>
        <w:rPr>
          <w:rFonts w:hint="eastAsia" w:hAnsi="宋体"/>
        </w:rPr>
        <w:t>如</w:t>
      </w:r>
      <w:r>
        <w:rPr>
          <w:rFonts w:hint="eastAsia" w:ascii="宋体" w:hAnsi="宋体"/>
        </w:rPr>
        <w:t>响应供应商为非制造商，其代理产品的制造商也应同时提交</w:t>
      </w:r>
      <w:r>
        <w:rPr>
          <w:rFonts w:hint="eastAsia" w:ascii="宋体" w:hAnsi="宋体"/>
          <w:bCs/>
        </w:rPr>
        <w:t>《中小企业声明函》，</w:t>
      </w:r>
      <w:r>
        <w:rPr>
          <w:rFonts w:hint="eastAsia" w:hAnsi="宋体"/>
        </w:rPr>
        <w:t>否则评审时不能享受相应的价格扣除。</w:t>
      </w:r>
    </w:p>
    <w:p>
      <w:pPr>
        <w:numPr>
          <w:ilvl w:val="1"/>
          <w:numId w:val="12"/>
        </w:numPr>
        <w:adjustRightInd w:val="0"/>
        <w:snapToGrid w:val="0"/>
        <w:spacing w:line="360" w:lineRule="auto"/>
      </w:pPr>
      <w:r>
        <w:rPr>
          <w:rFonts w:hint="eastAsia"/>
        </w:rPr>
        <w:t>监狱企业视同小型、微型企业，享受评审中价格扣除。</w:t>
      </w:r>
    </w:p>
    <w:p>
      <w:pPr>
        <w:numPr>
          <w:ilvl w:val="2"/>
          <w:numId w:val="12"/>
        </w:numPr>
        <w:adjustRightInd w:val="0"/>
        <w:snapToGrid w:val="0"/>
        <w:spacing w:line="360" w:lineRule="auto"/>
      </w:pPr>
      <w:r>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2"/>
        </w:numPr>
        <w:adjustRightInd w:val="0"/>
        <w:snapToGrid w:val="0"/>
        <w:spacing w:line="360" w:lineRule="auto"/>
      </w:pPr>
      <w:r>
        <w:rPr>
          <w:rFonts w:hint="eastAsia"/>
        </w:rPr>
        <w:t>监狱企业参加政府采购活动时，应当提供由</w:t>
      </w:r>
      <w:r>
        <w:rPr>
          <w:rFonts w:hint="eastAsia"/>
          <w:u w:val="single"/>
        </w:rPr>
        <w:t>省级以上监狱管理局、戒毒管理局（含新疆生产建设兵团）出具的属于监狱企业的证明文件</w:t>
      </w:r>
      <w:r>
        <w:rPr>
          <w:rFonts w:hint="eastAsia"/>
        </w:rPr>
        <w:t>，</w:t>
      </w:r>
      <w:r>
        <w:rPr>
          <w:rFonts w:hint="eastAsia" w:ascii="宋体" w:hAnsi="宋体" w:cs="宋体"/>
          <w:kern w:val="0"/>
          <w:szCs w:val="21"/>
        </w:rPr>
        <w:t>否则不予认可</w:t>
      </w:r>
      <w:r>
        <w:rPr>
          <w:rFonts w:hint="eastAsia"/>
        </w:rPr>
        <w:t>。</w:t>
      </w:r>
    </w:p>
    <w:p>
      <w:pPr>
        <w:numPr>
          <w:ilvl w:val="1"/>
          <w:numId w:val="12"/>
        </w:numPr>
        <w:adjustRightInd w:val="0"/>
        <w:snapToGrid w:val="0"/>
        <w:spacing w:line="360" w:lineRule="auto"/>
      </w:pPr>
      <w:r>
        <w:rPr>
          <w:rFonts w:hint="eastAsia"/>
        </w:rPr>
        <w:t>残疾人福利性单位产品价格扣除</w:t>
      </w:r>
    </w:p>
    <w:p>
      <w:pPr>
        <w:numPr>
          <w:ilvl w:val="2"/>
          <w:numId w:val="12"/>
        </w:numPr>
        <w:adjustRightInd w:val="0"/>
        <w:snapToGrid w:val="0"/>
        <w:spacing w:line="360" w:lineRule="auto"/>
      </w:pPr>
      <w:r>
        <w:rPr>
          <w:rFonts w:hint="eastAsia"/>
        </w:rPr>
        <w:t>残疾人福利性单位视同小型、微型企业，按上述2.1、2.2条款享受评审中价格扣除。</w:t>
      </w:r>
    </w:p>
    <w:p>
      <w:pPr>
        <w:numPr>
          <w:ilvl w:val="2"/>
          <w:numId w:val="12"/>
        </w:numPr>
        <w:adjustRightInd w:val="0"/>
        <w:snapToGrid w:val="0"/>
        <w:spacing w:line="360" w:lineRule="auto"/>
      </w:pPr>
      <w:r>
        <w:rPr>
          <w:rFonts w:hint="eastAsia" w:ascii="宋体" w:hAnsi="宋体"/>
          <w:bCs/>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响应文件格式），并对</w:t>
      </w:r>
      <w:r>
        <w:rPr>
          <w:rFonts w:hint="eastAsia"/>
        </w:rPr>
        <w:t>声明的真实性负责。一旦成交将在成交公告中公告其声明函，接受社会监督。响应供应商提供的《残疾人福利性单位声明函》与事实不符的，依照《</w:t>
      </w:r>
      <w:r>
        <w:rPr>
          <w:rFonts w:hint="eastAsia" w:ascii="宋体" w:hAnsi="宋体"/>
          <w:bCs/>
          <w:szCs w:val="20"/>
        </w:rPr>
        <w:t>中华人民共和国政府采购法</w:t>
      </w:r>
      <w:r>
        <w:rPr>
          <w:rFonts w:hint="eastAsia"/>
        </w:rPr>
        <w:t>》第七十七条第一款的规定追究法律责任。</w:t>
      </w:r>
    </w:p>
    <w:p>
      <w:pPr>
        <w:numPr>
          <w:ilvl w:val="0"/>
          <w:numId w:val="12"/>
        </w:numPr>
        <w:adjustRightInd w:val="0"/>
        <w:snapToGrid w:val="0"/>
        <w:spacing w:line="360" w:lineRule="auto"/>
      </w:pPr>
      <w:r>
        <w:rPr>
          <w:rFonts w:hint="eastAsia"/>
        </w:rPr>
        <w:t>响应供应商同时为小型、微型企业、监狱企业、残疾人福利性单位任两种或以上情况的，评审中只享受一次价格扣除，不重复进行价格扣除。</w:t>
      </w:r>
    </w:p>
    <w:p>
      <w:pPr>
        <w:numPr>
          <w:ilvl w:val="0"/>
          <w:numId w:val="12"/>
        </w:numPr>
        <w:adjustRightInd w:val="0"/>
        <w:snapToGrid w:val="0"/>
        <w:spacing w:line="360" w:lineRule="auto"/>
      </w:pPr>
      <w:r>
        <w:rPr>
          <w:rFonts w:hint="eastAsia"/>
        </w:rPr>
        <w:t>节能产品、环境标志产品价格扣除：</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snapToGrid w:val="0"/>
        <w:spacing w:line="360" w:lineRule="auto"/>
        <w:jc w:val="center"/>
        <w:outlineLvl w:val="0"/>
        <w:rPr>
          <w:rFonts w:ascii="宋体" w:hAnsi="宋体"/>
          <w:b/>
          <w:bCs/>
          <w:sz w:val="28"/>
        </w:rPr>
      </w:pPr>
      <w:bookmarkStart w:id="4" w:name="_Toc27128619"/>
      <w:bookmarkStart w:id="5" w:name="_Toc5263818"/>
      <w:r>
        <w:rPr>
          <w:rFonts w:hint="eastAsia"/>
          <w:b/>
          <w:bCs/>
          <w:sz w:val="28"/>
          <w:szCs w:val="28"/>
        </w:rPr>
        <w:t>第四章用户需求书</w:t>
      </w:r>
      <w:bookmarkEnd w:id="4"/>
      <w:bookmarkEnd w:id="5"/>
    </w:p>
    <w:p>
      <w:pPr>
        <w:adjustRightInd w:val="0"/>
        <w:snapToGrid w:val="0"/>
        <w:spacing w:line="440" w:lineRule="exact"/>
        <w:ind w:left="517" w:hanging="517" w:hangingChars="245"/>
        <w:rPr>
          <w:rFonts w:ascii="宋体"/>
          <w:b/>
          <w:bCs/>
          <w:szCs w:val="20"/>
        </w:rPr>
      </w:pPr>
      <w:r>
        <w:rPr>
          <w:rFonts w:hint="eastAsia" w:ascii="宋体"/>
          <w:b/>
          <w:bCs/>
          <w:szCs w:val="20"/>
        </w:rPr>
        <w:t>说明：</w:t>
      </w:r>
    </w:p>
    <w:p>
      <w:pPr>
        <w:numPr>
          <w:ilvl w:val="0"/>
          <w:numId w:val="14"/>
        </w:numPr>
        <w:snapToGrid w:val="0"/>
        <w:spacing w:line="360" w:lineRule="auto"/>
        <w:rPr>
          <w:rFonts w:ascii="宋体"/>
          <w:b/>
          <w:bCs/>
          <w:szCs w:val="20"/>
        </w:rPr>
      </w:pPr>
      <w:r>
        <w:rPr>
          <w:rFonts w:hint="eastAsia" w:ascii="宋体"/>
          <w:b/>
          <w:bCs/>
          <w:szCs w:val="20"/>
        </w:rPr>
        <w:t>响应供应商须对本项目以包组为单位的</w:t>
      </w:r>
      <w:r>
        <w:rPr>
          <w:rFonts w:hint="eastAsia" w:ascii="宋体" w:hAnsi="宋体"/>
          <w:b/>
          <w:bCs/>
        </w:rPr>
        <w:t>采购标的</w:t>
      </w:r>
      <w:r>
        <w:rPr>
          <w:rFonts w:hint="eastAsia" w:ascii="宋体"/>
          <w:b/>
          <w:bCs/>
          <w:szCs w:val="20"/>
        </w:rPr>
        <w:t>进行整体响应，任何只对包组内其中一部分</w:t>
      </w:r>
      <w:r>
        <w:rPr>
          <w:rFonts w:hint="eastAsia" w:ascii="宋体" w:hAnsi="宋体"/>
          <w:b/>
          <w:bCs/>
        </w:rPr>
        <w:t>采购标的</w:t>
      </w:r>
      <w:r>
        <w:rPr>
          <w:rFonts w:hint="eastAsia" w:ascii="宋体"/>
          <w:b/>
          <w:bCs/>
          <w:szCs w:val="20"/>
        </w:rPr>
        <w:t xml:space="preserve">进行的响应都被视为无效响应。 </w:t>
      </w:r>
    </w:p>
    <w:p>
      <w:pPr>
        <w:numPr>
          <w:ilvl w:val="0"/>
          <w:numId w:val="14"/>
        </w:numPr>
        <w:snapToGrid w:val="0"/>
        <w:spacing w:line="360" w:lineRule="auto"/>
        <w:ind w:left="422" w:hanging="422" w:hangingChars="200"/>
        <w:rPr>
          <w:rFonts w:ascii="宋体"/>
          <w:b/>
          <w:bCs/>
          <w:szCs w:val="20"/>
        </w:rPr>
      </w:pPr>
      <w:r>
        <w:rPr>
          <w:rFonts w:hint="eastAsia" w:ascii="宋体"/>
          <w:b/>
          <w:bCs/>
          <w:szCs w:val="20"/>
        </w:rPr>
        <w:t>用户需求书中打</w:t>
      </w:r>
      <w:r>
        <w:rPr>
          <w:rFonts w:ascii="宋体"/>
          <w:b/>
          <w:bCs/>
          <w:szCs w:val="20"/>
        </w:rPr>
        <w:t>“</w:t>
      </w:r>
      <w:r>
        <w:rPr>
          <w:rFonts w:hint="eastAsia" w:ascii="宋体" w:hAnsi="宋体"/>
          <w:b/>
          <w:bCs/>
          <w:szCs w:val="20"/>
        </w:rPr>
        <w:t>◆</w:t>
      </w:r>
      <w:r>
        <w:rPr>
          <w:rFonts w:ascii="宋体"/>
          <w:b/>
          <w:bCs/>
          <w:szCs w:val="20"/>
        </w:rPr>
        <w:t>”</w:t>
      </w:r>
      <w:r>
        <w:rPr>
          <w:rFonts w:hint="eastAsia" w:ascii="宋体"/>
          <w:b/>
          <w:bCs/>
          <w:szCs w:val="20"/>
        </w:rPr>
        <w:t>号的内容为采购的主要标的，响应供应商应在报价表中清晰列明“标的名称、规格型号、数量、单价”。</w:t>
      </w:r>
    </w:p>
    <w:p>
      <w:pPr>
        <w:pStyle w:val="17"/>
        <w:numPr>
          <w:ilvl w:val="0"/>
          <w:numId w:val="15"/>
        </w:numPr>
        <w:tabs>
          <w:tab w:val="left" w:pos="540"/>
        </w:tabs>
        <w:adjustRightInd w:val="0"/>
        <w:snapToGrid w:val="0"/>
        <w:spacing w:line="360" w:lineRule="auto"/>
        <w:rPr>
          <w:b/>
          <w:bCs/>
          <w:szCs w:val="20"/>
        </w:rPr>
      </w:pPr>
      <w:r>
        <w:rPr>
          <w:rFonts w:hint="eastAsia"/>
          <w:b/>
          <w:bCs/>
          <w:szCs w:val="20"/>
        </w:rPr>
        <w:t>项目一览表</w:t>
      </w:r>
    </w:p>
    <w:tbl>
      <w:tblPr>
        <w:tblStyle w:val="30"/>
        <w:tblW w:w="96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133"/>
        <w:gridCol w:w="607"/>
        <w:gridCol w:w="3543"/>
        <w:gridCol w:w="2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5" w:type="dxa"/>
            <w:tcBorders>
              <w:top w:val="single" w:color="auto" w:sz="12" w:space="0"/>
              <w:bottom w:val="single" w:color="auto" w:sz="2" w:space="0"/>
            </w:tcBorders>
            <w:shd w:val="clear" w:color="auto" w:fill="EEECE1"/>
            <w:vAlign w:val="center"/>
          </w:tcPr>
          <w:p>
            <w:pPr>
              <w:jc w:val="center"/>
              <w:rPr>
                <w:rFonts w:ascii="宋体"/>
                <w:b/>
                <w:szCs w:val="21"/>
              </w:rPr>
            </w:pPr>
            <w:r>
              <w:rPr>
                <w:rFonts w:hint="eastAsia" w:ascii="宋体"/>
                <w:b/>
                <w:szCs w:val="21"/>
              </w:rPr>
              <w:t>包组号</w:t>
            </w:r>
          </w:p>
        </w:tc>
        <w:tc>
          <w:tcPr>
            <w:tcW w:w="2133" w:type="dxa"/>
            <w:tcBorders>
              <w:top w:val="single" w:color="auto" w:sz="12" w:space="0"/>
              <w:bottom w:val="single" w:color="auto" w:sz="2" w:space="0"/>
            </w:tcBorders>
            <w:shd w:val="clear" w:color="auto" w:fill="EEECE1"/>
            <w:vAlign w:val="center"/>
          </w:tcPr>
          <w:p>
            <w:pPr>
              <w:jc w:val="center"/>
              <w:rPr>
                <w:rFonts w:ascii="宋体"/>
                <w:b/>
                <w:szCs w:val="21"/>
              </w:rPr>
            </w:pPr>
            <w:r>
              <w:rPr>
                <w:rFonts w:hint="eastAsia" w:ascii="宋体"/>
                <w:b/>
                <w:szCs w:val="21"/>
              </w:rPr>
              <w:t>采购内容</w:t>
            </w:r>
          </w:p>
        </w:tc>
        <w:tc>
          <w:tcPr>
            <w:tcW w:w="607" w:type="dxa"/>
            <w:tcBorders>
              <w:top w:val="single" w:color="auto" w:sz="12" w:space="0"/>
              <w:bottom w:val="single" w:color="auto" w:sz="2" w:space="0"/>
            </w:tcBorders>
            <w:shd w:val="clear" w:color="auto" w:fill="EEECE1"/>
            <w:vAlign w:val="center"/>
          </w:tcPr>
          <w:p>
            <w:pPr>
              <w:jc w:val="center"/>
              <w:rPr>
                <w:rFonts w:ascii="宋体"/>
                <w:b/>
                <w:szCs w:val="21"/>
              </w:rPr>
            </w:pPr>
            <w:r>
              <w:rPr>
                <w:rFonts w:hint="eastAsia" w:ascii="宋体"/>
                <w:b/>
                <w:szCs w:val="21"/>
              </w:rPr>
              <w:t>数量</w:t>
            </w:r>
          </w:p>
        </w:tc>
        <w:tc>
          <w:tcPr>
            <w:tcW w:w="3543" w:type="dxa"/>
            <w:tcBorders>
              <w:top w:val="single" w:color="auto" w:sz="12" w:space="0"/>
              <w:bottom w:val="single" w:color="auto" w:sz="2" w:space="0"/>
            </w:tcBorders>
            <w:shd w:val="clear" w:color="auto" w:fill="EEECE1"/>
            <w:vAlign w:val="center"/>
          </w:tcPr>
          <w:p>
            <w:pPr>
              <w:jc w:val="center"/>
              <w:rPr>
                <w:rFonts w:ascii="宋体"/>
                <w:b/>
                <w:szCs w:val="21"/>
              </w:rPr>
            </w:pPr>
            <w:r>
              <w:rPr>
                <w:rFonts w:hint="eastAsia"/>
                <w:b/>
              </w:rPr>
              <w:t>服务期限</w:t>
            </w:r>
          </w:p>
        </w:tc>
        <w:tc>
          <w:tcPr>
            <w:tcW w:w="2110" w:type="dxa"/>
            <w:tcBorders>
              <w:top w:val="single" w:color="auto" w:sz="12" w:space="0"/>
              <w:bottom w:val="single" w:color="auto" w:sz="2" w:space="0"/>
            </w:tcBorders>
            <w:shd w:val="clear" w:color="auto" w:fill="EEECE1"/>
            <w:vAlign w:val="center"/>
          </w:tcPr>
          <w:p>
            <w:pPr>
              <w:jc w:val="center"/>
              <w:rPr>
                <w:rFonts w:ascii="宋体"/>
                <w:szCs w:val="21"/>
              </w:rPr>
            </w:pPr>
            <w:r>
              <w:rPr>
                <w:rFonts w:hint="eastAsia"/>
                <w:b/>
              </w:rPr>
              <w:t>年度支付上限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215" w:type="dxa"/>
            <w:tcBorders>
              <w:top w:val="single" w:color="auto" w:sz="2" w:space="0"/>
              <w:bottom w:val="single" w:color="auto" w:sz="2" w:space="0"/>
            </w:tcBorders>
            <w:vAlign w:val="center"/>
          </w:tcPr>
          <w:p>
            <w:pPr>
              <w:jc w:val="center"/>
              <w:rPr>
                <w:rFonts w:ascii="宋体" w:hAnsi="宋体"/>
                <w:kern w:val="0"/>
                <w:szCs w:val="21"/>
              </w:rPr>
            </w:pPr>
            <w:r>
              <w:rPr>
                <w:rFonts w:hint="eastAsia" w:ascii="宋体" w:hAnsi="宋体"/>
                <w:kern w:val="0"/>
                <w:szCs w:val="21"/>
              </w:rPr>
              <w:t>包组一</w:t>
            </w:r>
          </w:p>
        </w:tc>
        <w:tc>
          <w:tcPr>
            <w:tcW w:w="2133" w:type="dxa"/>
            <w:tcBorders>
              <w:top w:val="single" w:color="auto" w:sz="2" w:space="0"/>
              <w:bottom w:val="single" w:color="auto" w:sz="2" w:space="0"/>
            </w:tcBorders>
            <w:vAlign w:val="center"/>
          </w:tcPr>
          <w:p>
            <w:pPr>
              <w:jc w:val="center"/>
              <w:rPr>
                <w:rFonts w:ascii="宋体" w:hAnsi="宋体"/>
                <w:kern w:val="0"/>
                <w:szCs w:val="21"/>
              </w:rPr>
            </w:pPr>
            <w:r>
              <w:rPr>
                <w:rFonts w:hint="eastAsia" w:ascii="宋体" w:hAnsi="宋体"/>
                <w:kern w:val="0"/>
                <w:szCs w:val="21"/>
              </w:rPr>
              <w:t>◆</w:t>
            </w:r>
            <w:r>
              <w:rPr>
                <w:rFonts w:hint="eastAsia" w:ascii="宋体" w:hAnsi="宋体"/>
                <w:bCs/>
                <w:szCs w:val="21"/>
              </w:rPr>
              <w:t>国家税务总局深圳市罗湖区税务局税收征管表格印制</w:t>
            </w:r>
          </w:p>
        </w:tc>
        <w:tc>
          <w:tcPr>
            <w:tcW w:w="607" w:type="dxa"/>
            <w:tcBorders>
              <w:top w:val="single" w:color="auto" w:sz="2" w:space="0"/>
              <w:bottom w:val="single" w:color="auto" w:sz="2" w:space="0"/>
            </w:tcBorders>
            <w:vAlign w:val="center"/>
          </w:tcPr>
          <w:p>
            <w:pPr>
              <w:jc w:val="center"/>
              <w:rPr>
                <w:rFonts w:ascii="宋体" w:hAnsi="宋体"/>
                <w:kern w:val="0"/>
                <w:szCs w:val="21"/>
              </w:rPr>
            </w:pPr>
            <w:r>
              <w:rPr>
                <w:rFonts w:hint="eastAsia" w:ascii="宋体" w:hAnsi="宋体"/>
                <w:kern w:val="0"/>
                <w:szCs w:val="21"/>
              </w:rPr>
              <w:t>1项</w:t>
            </w:r>
          </w:p>
        </w:tc>
        <w:tc>
          <w:tcPr>
            <w:tcW w:w="3543" w:type="dxa"/>
            <w:tcBorders>
              <w:top w:val="single" w:color="auto" w:sz="2" w:space="0"/>
              <w:bottom w:val="single" w:color="auto" w:sz="2" w:space="0"/>
            </w:tcBorders>
            <w:vAlign w:val="center"/>
          </w:tcPr>
          <w:p>
            <w:pPr>
              <w:pStyle w:val="68"/>
              <w:spacing w:line="440" w:lineRule="exact"/>
              <w:ind w:right="-82" w:rightChars="-39" w:hanging="54"/>
              <w:rPr>
                <w:rFonts w:ascii="宋体" w:hAnsi="宋体"/>
                <w:snapToGrid/>
                <w:spacing w:val="0"/>
                <w:sz w:val="21"/>
                <w:szCs w:val="21"/>
              </w:rPr>
            </w:pPr>
            <w:r>
              <w:rPr>
                <w:rFonts w:hint="eastAsia" w:ascii="宋体" w:hAnsi="宋体"/>
                <w:snapToGrid/>
                <w:spacing w:val="0"/>
                <w:sz w:val="21"/>
                <w:szCs w:val="21"/>
              </w:rPr>
              <w:t>2020年1月1日至2022年12月31日，合同一年一签，最长不超过</w:t>
            </w:r>
            <w:r>
              <w:rPr>
                <w:rFonts w:ascii="宋体" w:hAnsi="宋体"/>
                <w:snapToGrid/>
                <w:spacing w:val="0"/>
                <w:sz w:val="21"/>
                <w:szCs w:val="21"/>
              </w:rPr>
              <w:t>3年</w:t>
            </w:r>
            <w:r>
              <w:rPr>
                <w:rFonts w:hint="eastAsia" w:ascii="宋体" w:hAnsi="宋体"/>
                <w:snapToGrid/>
                <w:spacing w:val="0"/>
                <w:sz w:val="21"/>
                <w:szCs w:val="21"/>
              </w:rPr>
              <w:t>。</w:t>
            </w:r>
          </w:p>
        </w:tc>
        <w:tc>
          <w:tcPr>
            <w:tcW w:w="2110" w:type="dxa"/>
            <w:tcBorders>
              <w:top w:val="single" w:color="auto" w:sz="2" w:space="0"/>
              <w:bottom w:val="single" w:color="auto" w:sz="2" w:space="0"/>
            </w:tcBorders>
            <w:vAlign w:val="center"/>
          </w:tcPr>
          <w:p>
            <w:pPr>
              <w:jc w:val="center"/>
              <w:rPr>
                <w:rFonts w:ascii="宋体" w:hAnsi="宋体"/>
                <w:kern w:val="0"/>
                <w:szCs w:val="21"/>
              </w:rPr>
            </w:pPr>
            <w:r>
              <w:rPr>
                <w:rFonts w:hint="eastAsia" w:ascii="宋体" w:hAnsi="宋体"/>
                <w:kern w:val="0"/>
                <w:szCs w:val="21"/>
              </w:rPr>
              <w:t>人民币94万元</w:t>
            </w:r>
            <w:r>
              <w:rPr>
                <w:rFonts w:ascii="宋体" w:hAnsi="宋体"/>
                <w:kern w:val="0"/>
                <w:szCs w:val="21"/>
              </w:rPr>
              <w:t>/</w:t>
            </w:r>
            <w:r>
              <w:rPr>
                <w:rFonts w:hint="eastAsia" w:ascii="宋体" w:hAnsi="宋体"/>
                <w:kern w:val="0"/>
                <w:szCs w:val="21"/>
              </w:rPr>
              <w:t>年</w:t>
            </w:r>
          </w:p>
        </w:tc>
      </w:tr>
    </w:tbl>
    <w:p>
      <w:pPr>
        <w:pStyle w:val="17"/>
        <w:numPr>
          <w:ilvl w:val="0"/>
          <w:numId w:val="15"/>
        </w:numPr>
        <w:tabs>
          <w:tab w:val="left" w:pos="540"/>
        </w:tabs>
        <w:adjustRightInd w:val="0"/>
        <w:snapToGrid w:val="0"/>
        <w:spacing w:line="360" w:lineRule="auto"/>
        <w:rPr>
          <w:rFonts w:hAnsi="宋体"/>
          <w:b/>
        </w:rPr>
      </w:pPr>
      <w:r>
        <w:rPr>
          <w:rFonts w:hint="eastAsia" w:hAnsi="宋体"/>
          <w:b/>
        </w:rPr>
        <w:t>项目概况</w:t>
      </w:r>
    </w:p>
    <w:p>
      <w:pPr>
        <w:pStyle w:val="17"/>
        <w:tabs>
          <w:tab w:val="left" w:pos="540"/>
        </w:tabs>
        <w:adjustRightInd w:val="0"/>
        <w:snapToGrid w:val="0"/>
        <w:spacing w:line="360" w:lineRule="auto"/>
        <w:ind w:firstLine="420" w:firstLineChars="200"/>
        <w:rPr>
          <w:rFonts w:hAnsi="宋体" w:cs="宋体"/>
          <w:bCs/>
        </w:rPr>
      </w:pPr>
      <w:r>
        <w:rPr>
          <w:rFonts w:hint="eastAsia" w:hAnsi="宋体" w:cs="宋体"/>
          <w:bCs/>
        </w:rPr>
        <w:t>采购人为国家税务总局深圳市罗湖区税务局；本项目以每月税收征管表格实际印制数量结算，年度支付上限金额不超过人民币94万元。税收征管表格印制数量和品种以采购人当月所需的量为准，2020年1月1日至2022年12月31日，合同一年一签，最长不超过</w:t>
      </w:r>
      <w:r>
        <w:rPr>
          <w:rFonts w:hint="eastAsia" w:hAnsi="宋体" w:cs="宋体"/>
          <w:bCs/>
          <w:lang w:val="en-US"/>
        </w:rPr>
        <w:t>3年</w:t>
      </w:r>
      <w:r>
        <w:rPr>
          <w:rFonts w:hint="eastAsia" w:hAnsi="宋体" w:cs="宋体"/>
          <w:bCs/>
        </w:rPr>
        <w:t>。</w:t>
      </w:r>
    </w:p>
    <w:p>
      <w:pPr>
        <w:pStyle w:val="17"/>
        <w:tabs>
          <w:tab w:val="left" w:pos="540"/>
        </w:tabs>
        <w:adjustRightInd w:val="0"/>
        <w:snapToGrid w:val="0"/>
        <w:spacing w:line="360" w:lineRule="auto"/>
        <w:ind w:firstLine="420" w:firstLineChars="200"/>
        <w:rPr>
          <w:rFonts w:hAnsi="宋体" w:cs="宋体"/>
          <w:bCs/>
        </w:rPr>
      </w:pPr>
      <w:r>
        <w:rPr>
          <w:rFonts w:hint="eastAsia" w:hAnsi="宋体" w:cs="宋体"/>
          <w:bCs/>
        </w:rPr>
        <w:t>采购范围：采购人需要印制几百种不同类型和数量的征管表格、资料袋、采购人指定印刷的其他纸质文件、不干胶条形码等。</w:t>
      </w:r>
    </w:p>
    <w:p>
      <w:pPr>
        <w:pStyle w:val="17"/>
        <w:tabs>
          <w:tab w:val="left" w:pos="540"/>
        </w:tabs>
        <w:adjustRightInd w:val="0"/>
        <w:snapToGrid w:val="0"/>
        <w:spacing w:line="360" w:lineRule="auto"/>
        <w:ind w:firstLine="420" w:firstLineChars="200"/>
        <w:rPr>
          <w:rFonts w:hAnsi="宋体" w:cs="宋体"/>
          <w:bCs/>
        </w:rPr>
      </w:pPr>
      <w:r>
        <w:rPr>
          <w:rFonts w:hint="eastAsia" w:hAnsi="宋体" w:cs="宋体"/>
          <w:bCs/>
        </w:rPr>
        <w:t>响应供应商负责提供国家税务总局深圳市罗湖区税务局每月税收征管表格印制服务。</w:t>
      </w:r>
    </w:p>
    <w:p>
      <w:pPr>
        <w:pStyle w:val="17"/>
        <w:numPr>
          <w:ilvl w:val="0"/>
          <w:numId w:val="15"/>
        </w:numPr>
        <w:tabs>
          <w:tab w:val="left" w:pos="540"/>
        </w:tabs>
        <w:adjustRightInd w:val="0"/>
        <w:snapToGrid w:val="0"/>
        <w:spacing w:line="360" w:lineRule="auto"/>
        <w:rPr>
          <w:rFonts w:hAnsi="宋体"/>
          <w:b/>
        </w:rPr>
      </w:pPr>
      <w:bookmarkStart w:id="6" w:name="_Toc502738619"/>
      <w:bookmarkStart w:id="7" w:name="_Toc434343686"/>
      <w:r>
        <w:rPr>
          <w:rFonts w:hint="eastAsia" w:hAnsi="宋体"/>
          <w:b/>
        </w:rPr>
        <w:t>项目服务要求</w:t>
      </w:r>
    </w:p>
    <w:p>
      <w:pPr>
        <w:pStyle w:val="17"/>
        <w:tabs>
          <w:tab w:val="left" w:pos="540"/>
        </w:tabs>
        <w:adjustRightInd w:val="0"/>
        <w:snapToGrid w:val="0"/>
        <w:spacing w:line="360" w:lineRule="auto"/>
        <w:ind w:firstLine="422" w:firstLineChars="200"/>
        <w:rPr>
          <w:rFonts w:hAnsi="宋体" w:cs="宋体"/>
          <w:b/>
        </w:rPr>
      </w:pPr>
      <w:r>
        <w:rPr>
          <w:rFonts w:hint="eastAsia" w:hAnsi="宋体" w:cs="宋体"/>
          <w:b/>
        </w:rPr>
        <w:t>（一）依据及标准</w:t>
      </w:r>
    </w:p>
    <w:p>
      <w:pPr>
        <w:pStyle w:val="17"/>
        <w:tabs>
          <w:tab w:val="left" w:pos="540"/>
        </w:tabs>
        <w:adjustRightInd w:val="0"/>
        <w:snapToGrid w:val="0"/>
        <w:spacing w:line="360" w:lineRule="auto"/>
        <w:ind w:firstLine="420" w:firstLineChars="200"/>
        <w:rPr>
          <w:rFonts w:hAnsi="宋体" w:cs="宋体"/>
          <w:bCs/>
        </w:rPr>
      </w:pPr>
      <w:r>
        <w:rPr>
          <w:rFonts w:hint="eastAsia" w:hAnsi="宋体" w:cs="宋体"/>
          <w:bCs/>
        </w:rPr>
        <w:t>《印刷业管理条例》（国务院令第212号）、《中华人民共和国循环经济促进法》等。</w:t>
      </w:r>
    </w:p>
    <w:p>
      <w:pPr>
        <w:pStyle w:val="17"/>
        <w:tabs>
          <w:tab w:val="left" w:pos="540"/>
        </w:tabs>
        <w:adjustRightInd w:val="0"/>
        <w:snapToGrid w:val="0"/>
        <w:spacing w:line="360" w:lineRule="auto"/>
        <w:ind w:firstLine="422" w:firstLineChars="200"/>
        <w:rPr>
          <w:rFonts w:hAnsi="宋体" w:cs="宋体"/>
          <w:b/>
        </w:rPr>
      </w:pPr>
      <w:r>
        <w:rPr>
          <w:rFonts w:hint="eastAsia" w:hAnsi="宋体" w:cs="宋体"/>
          <w:b/>
        </w:rPr>
        <w:t>（二）服务要求</w:t>
      </w:r>
    </w:p>
    <w:p>
      <w:pPr>
        <w:pStyle w:val="17"/>
        <w:tabs>
          <w:tab w:val="left" w:pos="540"/>
        </w:tabs>
        <w:adjustRightInd w:val="0"/>
        <w:snapToGrid w:val="0"/>
        <w:spacing w:line="360" w:lineRule="auto"/>
        <w:ind w:firstLine="420" w:firstLineChars="200"/>
        <w:rPr>
          <w:rFonts w:hAnsi="宋体" w:cs="宋体"/>
          <w:bCs/>
        </w:rPr>
      </w:pPr>
      <w:r>
        <w:rPr>
          <w:rFonts w:hAnsi="宋体" w:cs="宋体"/>
          <w:bCs/>
        </w:rPr>
        <w:t>1</w:t>
      </w:r>
      <w:r>
        <w:rPr>
          <w:rFonts w:hint="eastAsia" w:hAnsi="宋体" w:cs="宋体"/>
          <w:bCs/>
        </w:rPr>
        <w:t>、印刷品全部符合国家标准，供应商提供的印刷品符合版面干净、文字完整、尺寸规范、颜色符合原稿的要求</w:t>
      </w:r>
    </w:p>
    <w:p>
      <w:pPr>
        <w:pStyle w:val="17"/>
        <w:tabs>
          <w:tab w:val="left" w:pos="540"/>
        </w:tabs>
        <w:adjustRightInd w:val="0"/>
        <w:snapToGrid w:val="0"/>
        <w:spacing w:line="360" w:lineRule="auto"/>
        <w:ind w:firstLine="420" w:firstLineChars="200"/>
        <w:rPr>
          <w:rFonts w:hAnsi="宋体" w:cs="宋体"/>
          <w:bCs/>
        </w:rPr>
      </w:pPr>
      <w:r>
        <w:rPr>
          <w:rFonts w:hAnsi="宋体" w:cs="宋体"/>
          <w:bCs/>
        </w:rPr>
        <w:t>2</w:t>
      </w:r>
      <w:r>
        <w:rPr>
          <w:rFonts w:hint="eastAsia" w:hAnsi="宋体" w:cs="宋体"/>
          <w:bCs/>
        </w:rPr>
        <w:t>、数量及验收要求：供应商应保证所供印刷品种和数量、种类的准确性。</w:t>
      </w:r>
    </w:p>
    <w:p>
      <w:pPr>
        <w:tabs>
          <w:tab w:val="left" w:pos="420"/>
        </w:tabs>
        <w:autoSpaceDE w:val="0"/>
        <w:autoSpaceDN w:val="0"/>
        <w:adjustRightInd w:val="0"/>
        <w:spacing w:line="360" w:lineRule="auto"/>
        <w:ind w:firstLine="422" w:firstLineChars="200"/>
        <w:jc w:val="left"/>
        <w:outlineLvl w:val="2"/>
        <w:rPr>
          <w:rFonts w:ascii="宋体" w:hAnsi="宋体" w:cs="宋体"/>
          <w:b/>
          <w:szCs w:val="21"/>
        </w:rPr>
      </w:pPr>
      <w:r>
        <w:rPr>
          <w:rFonts w:hint="eastAsia" w:ascii="宋体" w:hAnsi="宋体" w:cs="宋体"/>
          <w:b/>
          <w:szCs w:val="21"/>
        </w:rPr>
        <w:t>（三）定价方式</w:t>
      </w:r>
    </w:p>
    <w:p>
      <w:pPr>
        <w:tabs>
          <w:tab w:val="left" w:pos="420"/>
        </w:tabs>
        <w:autoSpaceDE w:val="0"/>
        <w:autoSpaceDN w:val="0"/>
        <w:adjustRightInd w:val="0"/>
        <w:spacing w:line="360" w:lineRule="auto"/>
        <w:ind w:left="400"/>
        <w:jc w:val="left"/>
        <w:outlineLvl w:val="2"/>
        <w:rPr>
          <w:rFonts w:ascii="宋体" w:hAnsi="宋体" w:cs="宋体"/>
          <w:bCs/>
          <w:szCs w:val="21"/>
        </w:rPr>
      </w:pPr>
      <w:r>
        <w:rPr>
          <w:rFonts w:hint="eastAsia" w:ascii="宋体" w:hAnsi="宋体" w:cs="宋体"/>
          <w:bCs/>
          <w:szCs w:val="21"/>
        </w:rPr>
        <w:t>1、以深圳市印刷行业协会价格或周边市场价格确定印刷品单价价格作为报价基准，供应商填报下浮率（0-100%），即结算金额=深圳市印刷行业协会价格或周边市场价格确定印刷品单价价格×（1-投标下浮率）×实际印制数量。</w:t>
      </w:r>
    </w:p>
    <w:p>
      <w:pPr>
        <w:tabs>
          <w:tab w:val="left" w:pos="420"/>
        </w:tabs>
        <w:autoSpaceDE w:val="0"/>
        <w:autoSpaceDN w:val="0"/>
        <w:adjustRightInd w:val="0"/>
        <w:spacing w:line="360" w:lineRule="auto"/>
        <w:ind w:left="400"/>
        <w:jc w:val="left"/>
        <w:outlineLvl w:val="2"/>
        <w:rPr>
          <w:rFonts w:ascii="宋体" w:hAnsi="宋体" w:cs="宋体"/>
          <w:bCs/>
          <w:szCs w:val="21"/>
        </w:rPr>
      </w:pPr>
      <w:r>
        <w:rPr>
          <w:rFonts w:hint="eastAsia" w:ascii="宋体" w:hAnsi="宋体" w:cs="宋体"/>
          <w:bCs/>
          <w:szCs w:val="21"/>
        </w:rPr>
        <w:t>2、所有印刷品的报价包括印刷及送货上门的一切将可能发生的费用。以上报价以人民币为报价和结算单位，须开具国家正规发票。</w:t>
      </w:r>
    </w:p>
    <w:p>
      <w:pPr>
        <w:tabs>
          <w:tab w:val="left" w:pos="420"/>
        </w:tabs>
        <w:autoSpaceDE w:val="0"/>
        <w:autoSpaceDN w:val="0"/>
        <w:adjustRightInd w:val="0"/>
        <w:spacing w:line="360" w:lineRule="auto"/>
        <w:ind w:firstLine="422" w:firstLineChars="200"/>
        <w:jc w:val="left"/>
        <w:outlineLvl w:val="2"/>
        <w:rPr>
          <w:rFonts w:ascii="宋体" w:hAnsi="宋体" w:cs="宋体"/>
          <w:b/>
          <w:szCs w:val="21"/>
        </w:rPr>
      </w:pPr>
      <w:r>
        <w:rPr>
          <w:rFonts w:hint="eastAsia" w:ascii="宋体" w:hAnsi="宋体" w:cs="宋体"/>
          <w:b/>
          <w:szCs w:val="21"/>
        </w:rPr>
        <w:t>（四）交货地点</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bookmarkStart w:id="8" w:name="_Hlk27140924"/>
      <w:r>
        <w:rPr>
          <w:rFonts w:hint="eastAsia" w:ascii="宋体" w:hAnsi="宋体" w:cs="宋体"/>
          <w:bCs/>
          <w:szCs w:val="21"/>
        </w:rPr>
        <w:t>深圳市罗湖区蜜园路1号国家税务总局深圳市罗湖区税务局蜜园路办公区</w:t>
      </w:r>
      <w:bookmarkEnd w:id="8"/>
      <w:r>
        <w:rPr>
          <w:rFonts w:hint="eastAsia" w:ascii="宋体" w:hAnsi="宋体" w:cs="宋体"/>
          <w:bCs/>
          <w:szCs w:val="21"/>
        </w:rPr>
        <w:t xml:space="preserve">。 </w:t>
      </w:r>
    </w:p>
    <w:p>
      <w:pPr>
        <w:tabs>
          <w:tab w:val="left" w:pos="420"/>
        </w:tabs>
        <w:autoSpaceDE w:val="0"/>
        <w:autoSpaceDN w:val="0"/>
        <w:adjustRightInd w:val="0"/>
        <w:spacing w:line="360" w:lineRule="auto"/>
        <w:ind w:firstLine="422" w:firstLineChars="200"/>
        <w:jc w:val="left"/>
        <w:outlineLvl w:val="2"/>
        <w:rPr>
          <w:rFonts w:ascii="宋体" w:hAnsi="宋体" w:cs="宋体"/>
          <w:bCs/>
          <w:szCs w:val="21"/>
        </w:rPr>
      </w:pPr>
      <w:r>
        <w:rPr>
          <w:rFonts w:hint="eastAsia" w:ascii="宋体" w:hAnsi="宋体" w:cs="宋体"/>
          <w:b/>
          <w:szCs w:val="21"/>
        </w:rPr>
        <w:t>（五）验收标准</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r>
        <w:rPr>
          <w:rFonts w:hint="eastAsia" w:ascii="宋体" w:hAnsi="宋体" w:cs="宋体"/>
          <w:bCs/>
          <w:szCs w:val="21"/>
        </w:rPr>
        <w:t>根据项目工作需求，拟确定该项目按次进行验收。验收要求如下：</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r>
        <w:rPr>
          <w:rFonts w:hint="eastAsia" w:ascii="宋体" w:hAnsi="宋体" w:cs="宋体"/>
          <w:bCs/>
          <w:szCs w:val="21"/>
        </w:rPr>
        <w:t>（1）验收印制内容。确认每次印制内容与区局提供印刷电子版资料内容相符，字迹清晰，如不符合要求，项目验收不通过。</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r>
        <w:rPr>
          <w:rFonts w:hint="eastAsia" w:ascii="宋体" w:hAnsi="宋体" w:cs="宋体"/>
          <w:bCs/>
          <w:szCs w:val="21"/>
        </w:rPr>
        <w:t>（2）验收印制数量。确认每次印制数量与区局要求数量相符，如不符合要求，项目验收不通过。</w:t>
      </w:r>
    </w:p>
    <w:p>
      <w:pPr>
        <w:pStyle w:val="15"/>
        <w:spacing w:line="360" w:lineRule="auto"/>
        <w:ind w:firstLine="420" w:firstLineChars="200"/>
        <w:jc w:val="left"/>
        <w:rPr>
          <w:rFonts w:ascii="宋体" w:hAnsi="宋体" w:cs="宋体"/>
          <w:bCs/>
          <w:szCs w:val="21"/>
        </w:rPr>
      </w:pPr>
      <w:r>
        <w:rPr>
          <w:rFonts w:hint="eastAsia" w:ascii="宋体" w:hAnsi="宋体" w:cs="宋体"/>
          <w:bCs/>
          <w:szCs w:val="21"/>
        </w:rPr>
        <w:t>（3）未通过验收的印制资料，直到供应商更正前，我局将不予付款。</w:t>
      </w:r>
    </w:p>
    <w:p>
      <w:pPr>
        <w:tabs>
          <w:tab w:val="left" w:pos="420"/>
        </w:tabs>
        <w:autoSpaceDE w:val="0"/>
        <w:autoSpaceDN w:val="0"/>
        <w:adjustRightInd w:val="0"/>
        <w:spacing w:line="360" w:lineRule="auto"/>
        <w:ind w:firstLine="422" w:firstLineChars="200"/>
        <w:jc w:val="left"/>
        <w:outlineLvl w:val="2"/>
        <w:rPr>
          <w:rFonts w:ascii="宋体" w:hAnsi="宋体" w:cs="宋体"/>
          <w:b/>
          <w:szCs w:val="21"/>
        </w:rPr>
      </w:pPr>
      <w:r>
        <w:rPr>
          <w:rFonts w:hint="eastAsia" w:ascii="宋体" w:hAnsi="宋体" w:cs="宋体"/>
          <w:b/>
          <w:szCs w:val="21"/>
        </w:rPr>
        <w:t>（六）合同付款规定</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r>
        <w:rPr>
          <w:rFonts w:hint="eastAsia" w:ascii="宋体" w:hAnsi="宋体" w:cs="宋体"/>
          <w:bCs/>
          <w:szCs w:val="21"/>
        </w:rPr>
        <w:t>支付方式：本项目以每月实际印制数量结算，响应供应商于每月下旬提供等额发票，验收评估合格后，甲方于接收发票20日内完成支付。</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r>
        <w:rPr>
          <w:rFonts w:hint="eastAsia" w:ascii="宋体" w:hAnsi="宋体" w:cs="宋体"/>
          <w:bCs/>
          <w:szCs w:val="21"/>
        </w:rPr>
        <w:t>本项目年度支付上限金额不超过人民币94万元，印制数量和类型以采购人当月所需的量为准。</w:t>
      </w:r>
    </w:p>
    <w:p>
      <w:pPr>
        <w:tabs>
          <w:tab w:val="left" w:pos="420"/>
        </w:tabs>
        <w:autoSpaceDE w:val="0"/>
        <w:autoSpaceDN w:val="0"/>
        <w:adjustRightInd w:val="0"/>
        <w:spacing w:line="360" w:lineRule="auto"/>
        <w:ind w:firstLine="422" w:firstLineChars="200"/>
        <w:jc w:val="left"/>
        <w:outlineLvl w:val="2"/>
        <w:rPr>
          <w:rFonts w:ascii="宋体" w:hAnsi="宋体" w:cs="宋体"/>
          <w:b/>
          <w:szCs w:val="21"/>
        </w:rPr>
      </w:pPr>
      <w:r>
        <w:rPr>
          <w:rFonts w:hint="eastAsia" w:ascii="宋体" w:hAnsi="宋体" w:cs="宋体"/>
          <w:b/>
          <w:szCs w:val="21"/>
        </w:rPr>
        <w:t>（七）违约责任</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r>
        <w:rPr>
          <w:rFonts w:hint="eastAsia" w:ascii="宋体" w:hAnsi="宋体" w:cs="宋体"/>
          <w:bCs/>
          <w:szCs w:val="21"/>
        </w:rPr>
        <w:t>1、采购人责任</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r>
        <w:rPr>
          <w:rFonts w:hint="eastAsia" w:ascii="宋体" w:hAnsi="宋体" w:cs="宋体"/>
          <w:bCs/>
          <w:szCs w:val="21"/>
        </w:rPr>
        <w:t>1.1.应当履行本合同约定的义务，如有违反则应当承担违约责任，赔偿给响应供应商造成的损失。</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r>
        <w:rPr>
          <w:rFonts w:hint="eastAsia" w:ascii="宋体" w:hAnsi="宋体" w:cs="宋体"/>
          <w:bCs/>
          <w:szCs w:val="21"/>
        </w:rPr>
        <w:t>1.2. 采购人向响应供应商提出赔偿要求不能成立时，则应补偿由于该赔偿或其他要求所导致响应供应商的各种费用的支出。</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r>
        <w:rPr>
          <w:rFonts w:ascii="宋体" w:hAnsi="宋体" w:cs="宋体"/>
          <w:bCs/>
          <w:szCs w:val="21"/>
        </w:rPr>
        <w:t>2</w:t>
      </w:r>
      <w:r>
        <w:rPr>
          <w:rFonts w:hint="eastAsia" w:ascii="宋体" w:hAnsi="宋体" w:cs="宋体"/>
          <w:bCs/>
          <w:szCs w:val="21"/>
        </w:rPr>
        <w:t>、响应供应商责任</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r>
        <w:rPr>
          <w:rFonts w:hint="eastAsia" w:ascii="宋体" w:hAnsi="宋体" w:cs="宋体"/>
          <w:bCs/>
          <w:szCs w:val="21"/>
        </w:rPr>
        <w:t>2.1. 响应供应商的责任期即本合同有效期。如因非响应供应商的责任造成进度的推迟或延误而超过约定的日期，双方应进一步约定相应延长合同有效期。</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r>
        <w:rPr>
          <w:rFonts w:hint="eastAsia" w:ascii="宋体" w:hAnsi="宋体" w:cs="宋体"/>
          <w:bCs/>
          <w:szCs w:val="21"/>
        </w:rPr>
        <w:t>2.2. 响应供应商的责任期内，应当履行本合同中约定的义务和服务内容，因响应供应商的单方过失造成的经济损失，应当向采购人进行赔偿。</w:t>
      </w:r>
    </w:p>
    <w:p>
      <w:pPr>
        <w:tabs>
          <w:tab w:val="left" w:pos="420"/>
        </w:tabs>
        <w:autoSpaceDE w:val="0"/>
        <w:autoSpaceDN w:val="0"/>
        <w:adjustRightInd w:val="0"/>
        <w:spacing w:line="360" w:lineRule="auto"/>
        <w:ind w:firstLine="420" w:firstLineChars="200"/>
        <w:jc w:val="left"/>
        <w:outlineLvl w:val="2"/>
        <w:rPr>
          <w:rFonts w:ascii="宋体" w:hAnsi="宋体" w:cs="宋体"/>
          <w:bCs/>
          <w:szCs w:val="21"/>
        </w:rPr>
      </w:pPr>
      <w:r>
        <w:rPr>
          <w:rFonts w:hint="eastAsia" w:ascii="宋体" w:hAnsi="宋体" w:cs="宋体"/>
          <w:bCs/>
          <w:szCs w:val="21"/>
        </w:rPr>
        <w:t>2.3. 响应供应商向采购人提出赔偿要求不能成立时，则应补偿由于该赔偿或其他要求所导致采购人的各种费用的支出。</w:t>
      </w:r>
    </w:p>
    <w:p>
      <w:pPr>
        <w:pStyle w:val="28"/>
        <w:outlineLvl w:val="9"/>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bookmarkEnd w:id="6"/>
    <w:p>
      <w:pPr>
        <w:snapToGrid w:val="0"/>
        <w:spacing w:line="360" w:lineRule="auto"/>
        <w:jc w:val="center"/>
        <w:outlineLvl w:val="0"/>
        <w:rPr>
          <w:b/>
          <w:bCs/>
          <w:sz w:val="28"/>
          <w:szCs w:val="28"/>
        </w:rPr>
      </w:pPr>
      <w:bookmarkStart w:id="9" w:name="_Toc27128620"/>
      <w:bookmarkStart w:id="10" w:name="_Toc5263820"/>
      <w:r>
        <w:rPr>
          <w:rFonts w:hint="eastAsia"/>
          <w:b/>
          <w:bCs/>
          <w:sz w:val="28"/>
          <w:szCs w:val="28"/>
        </w:rPr>
        <w:t>第五章</w:t>
      </w:r>
      <w:bookmarkEnd w:id="7"/>
      <w:bookmarkStart w:id="11" w:name="_Toc434343687"/>
      <w:r>
        <w:rPr>
          <w:rFonts w:hint="eastAsia"/>
          <w:b/>
          <w:bCs/>
          <w:sz w:val="28"/>
          <w:szCs w:val="28"/>
        </w:rPr>
        <w:t>合同文本</w:t>
      </w:r>
      <w:bookmarkEnd w:id="9"/>
      <w:bookmarkEnd w:id="10"/>
      <w:bookmarkEnd w:id="11"/>
    </w:p>
    <w:p>
      <w:pPr>
        <w:tabs>
          <w:tab w:val="left" w:pos="720"/>
        </w:tabs>
        <w:spacing w:line="360" w:lineRule="auto"/>
        <w:rPr>
          <w:rFonts w:ascii="宋体" w:hAnsi="宋体" w:cs="宋体"/>
          <w:szCs w:val="21"/>
        </w:rPr>
      </w:pPr>
      <w:r>
        <w:rPr>
          <w:rFonts w:hint="eastAsia" w:ascii="宋体" w:hAnsi="宋体" w:cs="宋体"/>
          <w:szCs w:val="21"/>
        </w:rPr>
        <w:t xml:space="preserve">甲    方（采购人）：                   </w:t>
      </w:r>
    </w:p>
    <w:p>
      <w:pPr>
        <w:spacing w:line="360" w:lineRule="auto"/>
        <w:rPr>
          <w:rFonts w:ascii="宋体" w:hAnsi="宋体" w:cs="宋体"/>
          <w:szCs w:val="21"/>
        </w:rPr>
      </w:pPr>
      <w:r>
        <w:rPr>
          <w:rFonts w:hint="eastAsia" w:ascii="宋体" w:hAnsi="宋体" w:cs="宋体"/>
          <w:szCs w:val="21"/>
        </w:rPr>
        <w:t>电    话：           　   传  真：           地  址：</w:t>
      </w:r>
    </w:p>
    <w:p>
      <w:pPr>
        <w:spacing w:line="360" w:lineRule="auto"/>
        <w:rPr>
          <w:rFonts w:ascii="宋体" w:hAnsi="宋体" w:cs="宋体"/>
          <w:szCs w:val="21"/>
        </w:rPr>
      </w:pPr>
      <w:r>
        <w:rPr>
          <w:rFonts w:hint="eastAsia" w:ascii="宋体" w:hAnsi="宋体" w:cs="宋体"/>
          <w:szCs w:val="21"/>
        </w:rPr>
        <w:t xml:space="preserve">乙    方（成交供应商）：                    </w:t>
      </w:r>
      <w:r>
        <w:rPr>
          <w:rFonts w:hint="eastAsia" w:ascii="宋体" w:hAnsi="宋体" w:cs="宋体"/>
          <w:szCs w:val="21"/>
        </w:rPr>
        <w:br w:type="textWrapping"/>
      </w:r>
      <w:r>
        <w:rPr>
          <w:rFonts w:hint="eastAsia" w:ascii="宋体" w:hAnsi="宋体" w:cs="宋体"/>
          <w:szCs w:val="21"/>
        </w:rPr>
        <w:t xml:space="preserve">电    话：                传  真：           地  址：   </w:t>
      </w:r>
    </w:p>
    <w:p>
      <w:pPr>
        <w:tabs>
          <w:tab w:val="left" w:pos="720"/>
        </w:tabs>
        <w:spacing w:line="360" w:lineRule="auto"/>
        <w:rPr>
          <w:rFonts w:ascii="宋体" w:hAnsi="宋体" w:cs="宋体"/>
          <w:szCs w:val="21"/>
        </w:rPr>
      </w:pPr>
      <w:r>
        <w:rPr>
          <w:rFonts w:hint="eastAsia" w:ascii="宋体" w:hAnsi="宋体" w:cs="宋体"/>
          <w:szCs w:val="21"/>
        </w:rPr>
        <w:t xml:space="preserve">项目名称：                                   项目编号：               </w:t>
      </w:r>
    </w:p>
    <w:p>
      <w:pPr>
        <w:spacing w:line="420" w:lineRule="auto"/>
        <w:rPr>
          <w:rFonts w:ascii="宋体" w:hAnsi="宋体" w:cs="宋体"/>
          <w:szCs w:val="21"/>
        </w:rPr>
      </w:pPr>
      <w:r>
        <w:rPr>
          <w:rFonts w:hint="eastAsia" w:ascii="宋体" w:hAnsi="宋体" w:cs="宋体"/>
          <w:szCs w:val="21"/>
        </w:rPr>
        <w:t xml:space="preserve">    根据</w:t>
      </w:r>
      <w:r>
        <w:rPr>
          <w:rFonts w:hint="eastAsia" w:ascii="宋体" w:hAnsi="宋体" w:cs="宋体"/>
          <w:szCs w:val="21"/>
          <w:u w:val="single"/>
        </w:rPr>
        <w:t xml:space="preserve">  国家税务总局深圳市罗湖区税务局税收征管表格印制项目  </w:t>
      </w:r>
      <w:r>
        <w:rPr>
          <w:rFonts w:hint="eastAsia" w:ascii="宋体" w:hAnsi="宋体" w:cs="宋体"/>
          <w:szCs w:val="21"/>
        </w:rPr>
        <w:t>（项目编号：</w:t>
      </w:r>
      <w:r>
        <w:rPr>
          <w:rFonts w:hint="eastAsia" w:ascii="宋体" w:hAnsi="宋体"/>
        </w:rPr>
        <w:t>CLF0119SZ14QY80</w:t>
      </w:r>
      <w:r>
        <w:rPr>
          <w:rFonts w:hint="eastAsia" w:ascii="宋体" w:hAnsi="宋体" w:cs="宋体"/>
          <w:szCs w:val="21"/>
        </w:rPr>
        <w:t>）的采购结果，按照《中华人民共和国政府采购法》</w:t>
      </w:r>
      <w:r>
        <w:rPr>
          <w:rFonts w:hint="eastAsia" w:ascii="宋体" w:hAnsi="宋体"/>
          <w:szCs w:val="21"/>
        </w:rPr>
        <w:t>及其实施条例</w:t>
      </w:r>
      <w:r>
        <w:rPr>
          <w:rFonts w:hint="eastAsia" w:ascii="宋体" w:hAnsi="宋体" w:cs="宋体"/>
          <w:szCs w:val="21"/>
        </w:rPr>
        <w:t>、《合同法》的规定，经双方协商，本着平等互利和诚实信用的原则，一致同意签订本合同如下。</w:t>
      </w:r>
    </w:p>
    <w:p>
      <w:pPr>
        <w:numPr>
          <w:ilvl w:val="0"/>
          <w:numId w:val="16"/>
        </w:numPr>
        <w:tabs>
          <w:tab w:val="left" w:pos="426"/>
        </w:tabs>
        <w:spacing w:line="420" w:lineRule="auto"/>
        <w:ind w:left="0" w:firstLine="0"/>
        <w:rPr>
          <w:rFonts w:ascii="宋体" w:hAnsi="宋体" w:cs="宋体"/>
          <w:b/>
          <w:szCs w:val="21"/>
        </w:rPr>
      </w:pPr>
      <w:r>
        <w:rPr>
          <w:rFonts w:hint="eastAsia" w:ascii="宋体" w:hAnsi="宋体" w:cs="宋体"/>
          <w:b/>
          <w:szCs w:val="21"/>
        </w:rPr>
        <w:t xml:space="preserve">货物内容 </w:t>
      </w:r>
    </w:p>
    <w:tbl>
      <w:tblPr>
        <w:tblStyle w:val="30"/>
        <w:tblW w:w="1005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0"/>
        <w:gridCol w:w="1163"/>
        <w:gridCol w:w="4045"/>
        <w:gridCol w:w="920"/>
        <w:gridCol w:w="843"/>
        <w:gridCol w:w="1156"/>
        <w:gridCol w:w="11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820" w:type="dxa"/>
            <w:vAlign w:val="center"/>
          </w:tcPr>
          <w:p>
            <w:pPr>
              <w:jc w:val="center"/>
              <w:rPr>
                <w:rFonts w:ascii="宋体" w:hAnsi="宋体" w:cs="宋体"/>
                <w:szCs w:val="21"/>
              </w:rPr>
            </w:pPr>
            <w:r>
              <w:rPr>
                <w:rFonts w:hint="eastAsia" w:ascii="宋体" w:hAnsi="宋体" w:cs="宋体"/>
                <w:szCs w:val="21"/>
              </w:rPr>
              <w:t>序号</w:t>
            </w:r>
          </w:p>
        </w:tc>
        <w:tc>
          <w:tcPr>
            <w:tcW w:w="1163" w:type="dxa"/>
            <w:vAlign w:val="center"/>
          </w:tcPr>
          <w:p>
            <w:pPr>
              <w:ind w:left="-90" w:leftChars="-43" w:right="-84" w:rightChars="-40"/>
              <w:jc w:val="center"/>
              <w:rPr>
                <w:rFonts w:ascii="宋体" w:hAnsi="宋体" w:cs="宋体"/>
                <w:szCs w:val="21"/>
              </w:rPr>
            </w:pPr>
            <w:r>
              <w:rPr>
                <w:rFonts w:hint="eastAsia" w:ascii="宋体" w:hAnsi="宋体" w:cs="宋体"/>
                <w:szCs w:val="21"/>
              </w:rPr>
              <w:t>商品名称</w:t>
            </w:r>
          </w:p>
        </w:tc>
        <w:tc>
          <w:tcPr>
            <w:tcW w:w="4045" w:type="dxa"/>
            <w:vAlign w:val="center"/>
          </w:tcPr>
          <w:p>
            <w:pPr>
              <w:ind w:left="-84" w:leftChars="-40" w:right="-69" w:rightChars="-33"/>
              <w:jc w:val="center"/>
              <w:rPr>
                <w:rFonts w:ascii="宋体" w:hAnsi="宋体" w:cs="宋体"/>
                <w:szCs w:val="21"/>
              </w:rPr>
            </w:pPr>
            <w:r>
              <w:rPr>
                <w:rFonts w:hint="eastAsia" w:ascii="宋体" w:hAnsi="宋体" w:cs="宋体"/>
                <w:szCs w:val="21"/>
              </w:rPr>
              <w:t>品牌、规格型号、配置（性能参数）</w:t>
            </w:r>
          </w:p>
        </w:tc>
        <w:tc>
          <w:tcPr>
            <w:tcW w:w="920" w:type="dxa"/>
            <w:vAlign w:val="center"/>
          </w:tcPr>
          <w:p>
            <w:pPr>
              <w:jc w:val="center"/>
              <w:rPr>
                <w:rFonts w:ascii="宋体" w:hAnsi="宋体" w:cs="宋体"/>
                <w:szCs w:val="21"/>
              </w:rPr>
            </w:pPr>
            <w:r>
              <w:rPr>
                <w:rFonts w:hint="eastAsia" w:ascii="宋体" w:hAnsi="宋体" w:cs="宋体"/>
                <w:szCs w:val="21"/>
              </w:rPr>
              <w:t>产地</w:t>
            </w:r>
          </w:p>
        </w:tc>
        <w:tc>
          <w:tcPr>
            <w:tcW w:w="843" w:type="dxa"/>
            <w:vAlign w:val="center"/>
          </w:tcPr>
          <w:p>
            <w:pPr>
              <w:jc w:val="center"/>
              <w:rPr>
                <w:rFonts w:ascii="宋体" w:hAnsi="宋体" w:cs="宋体"/>
                <w:szCs w:val="21"/>
              </w:rPr>
            </w:pPr>
            <w:r>
              <w:rPr>
                <w:rFonts w:hint="eastAsia" w:ascii="宋体" w:hAnsi="宋体" w:cs="宋体"/>
                <w:szCs w:val="21"/>
              </w:rPr>
              <w:t>数量</w:t>
            </w:r>
          </w:p>
        </w:tc>
        <w:tc>
          <w:tcPr>
            <w:tcW w:w="1156" w:type="dxa"/>
            <w:vAlign w:val="center"/>
          </w:tcPr>
          <w:p>
            <w:pPr>
              <w:ind w:left="-113" w:leftChars="-54" w:right="-99" w:rightChars="-47"/>
              <w:jc w:val="center"/>
              <w:rPr>
                <w:rFonts w:ascii="宋体" w:hAnsi="宋体" w:cs="宋体"/>
                <w:szCs w:val="21"/>
              </w:rPr>
            </w:pPr>
            <w:r>
              <w:rPr>
                <w:rFonts w:hint="eastAsia" w:ascii="宋体" w:hAnsi="宋体" w:cs="宋体"/>
                <w:szCs w:val="21"/>
              </w:rPr>
              <w:t>单价(元)</w:t>
            </w:r>
          </w:p>
        </w:tc>
        <w:tc>
          <w:tcPr>
            <w:tcW w:w="1109" w:type="dxa"/>
            <w:vAlign w:val="center"/>
          </w:tcPr>
          <w:p>
            <w:pPr>
              <w:ind w:left="-109" w:leftChars="-52" w:right="-101" w:rightChars="-48"/>
              <w:jc w:val="center"/>
              <w:rPr>
                <w:rFonts w:ascii="宋体" w:hAnsi="宋体" w:cs="宋体"/>
                <w:szCs w:val="21"/>
              </w:rPr>
            </w:pPr>
            <w:r>
              <w:rPr>
                <w:rFonts w:hint="eastAsia" w:ascii="宋体" w:hAnsi="宋体" w:cs="宋体"/>
                <w:szCs w:val="21"/>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9" w:hRule="atLeast"/>
        </w:trPr>
        <w:tc>
          <w:tcPr>
            <w:tcW w:w="820" w:type="dxa"/>
            <w:vAlign w:val="center"/>
          </w:tcPr>
          <w:p>
            <w:pPr>
              <w:jc w:val="center"/>
              <w:rPr>
                <w:rFonts w:ascii="宋体" w:hAnsi="宋体" w:cs="宋体"/>
                <w:szCs w:val="21"/>
              </w:rPr>
            </w:pPr>
            <w:r>
              <w:rPr>
                <w:rFonts w:hint="eastAsia" w:ascii="宋体" w:hAnsi="宋体" w:cs="宋体"/>
                <w:szCs w:val="21"/>
              </w:rPr>
              <w:t>1</w:t>
            </w:r>
          </w:p>
        </w:tc>
        <w:tc>
          <w:tcPr>
            <w:tcW w:w="1163" w:type="dxa"/>
            <w:vAlign w:val="center"/>
          </w:tcPr>
          <w:p>
            <w:pPr>
              <w:jc w:val="center"/>
              <w:rPr>
                <w:rFonts w:ascii="宋体" w:hAnsi="宋体" w:cs="宋体"/>
                <w:szCs w:val="21"/>
              </w:rPr>
            </w:pPr>
          </w:p>
        </w:tc>
        <w:tc>
          <w:tcPr>
            <w:tcW w:w="4045" w:type="dxa"/>
            <w:vAlign w:val="center"/>
          </w:tcPr>
          <w:p>
            <w:pPr>
              <w:jc w:val="center"/>
              <w:rPr>
                <w:rFonts w:ascii="宋体" w:hAnsi="宋体" w:cs="宋体"/>
                <w:szCs w:val="21"/>
              </w:rPr>
            </w:pPr>
          </w:p>
        </w:tc>
        <w:tc>
          <w:tcPr>
            <w:tcW w:w="920" w:type="dxa"/>
            <w:vAlign w:val="center"/>
          </w:tcPr>
          <w:p>
            <w:pPr>
              <w:jc w:val="center"/>
              <w:rPr>
                <w:rFonts w:ascii="宋体" w:hAnsi="宋体" w:cs="宋体"/>
                <w:szCs w:val="21"/>
              </w:rPr>
            </w:pPr>
          </w:p>
        </w:tc>
        <w:tc>
          <w:tcPr>
            <w:tcW w:w="843" w:type="dxa"/>
            <w:vAlign w:val="center"/>
          </w:tcPr>
          <w:p>
            <w:pPr>
              <w:jc w:val="center"/>
              <w:rPr>
                <w:rFonts w:ascii="宋体" w:hAnsi="宋体" w:cs="宋体"/>
                <w:szCs w:val="21"/>
              </w:rPr>
            </w:pPr>
          </w:p>
        </w:tc>
        <w:tc>
          <w:tcPr>
            <w:tcW w:w="1156" w:type="dxa"/>
            <w:vAlign w:val="center"/>
          </w:tcPr>
          <w:p>
            <w:pPr>
              <w:jc w:val="center"/>
              <w:rPr>
                <w:rFonts w:ascii="宋体" w:hAnsi="宋体" w:cs="宋体"/>
                <w:szCs w:val="21"/>
              </w:rPr>
            </w:pPr>
          </w:p>
        </w:tc>
        <w:tc>
          <w:tcPr>
            <w:tcW w:w="1109"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9" w:hRule="atLeast"/>
        </w:trPr>
        <w:tc>
          <w:tcPr>
            <w:tcW w:w="820" w:type="dxa"/>
            <w:vAlign w:val="center"/>
          </w:tcPr>
          <w:p>
            <w:pPr>
              <w:jc w:val="center"/>
              <w:rPr>
                <w:rFonts w:ascii="宋体" w:hAnsi="宋体" w:cs="宋体"/>
                <w:szCs w:val="21"/>
              </w:rPr>
            </w:pPr>
            <w:r>
              <w:rPr>
                <w:rFonts w:hint="eastAsia" w:ascii="宋体" w:hAnsi="宋体" w:cs="宋体"/>
                <w:szCs w:val="21"/>
              </w:rPr>
              <w:t>2</w:t>
            </w:r>
          </w:p>
        </w:tc>
        <w:tc>
          <w:tcPr>
            <w:tcW w:w="1163" w:type="dxa"/>
            <w:vAlign w:val="center"/>
          </w:tcPr>
          <w:p>
            <w:pPr>
              <w:jc w:val="center"/>
              <w:rPr>
                <w:rFonts w:ascii="宋体" w:hAnsi="宋体" w:cs="宋体"/>
                <w:szCs w:val="21"/>
              </w:rPr>
            </w:pPr>
          </w:p>
        </w:tc>
        <w:tc>
          <w:tcPr>
            <w:tcW w:w="4045" w:type="dxa"/>
            <w:vAlign w:val="center"/>
          </w:tcPr>
          <w:p>
            <w:pPr>
              <w:jc w:val="center"/>
              <w:rPr>
                <w:rFonts w:ascii="宋体" w:hAnsi="宋体" w:cs="宋体"/>
                <w:szCs w:val="21"/>
              </w:rPr>
            </w:pPr>
          </w:p>
        </w:tc>
        <w:tc>
          <w:tcPr>
            <w:tcW w:w="920" w:type="dxa"/>
            <w:vAlign w:val="center"/>
          </w:tcPr>
          <w:p>
            <w:pPr>
              <w:jc w:val="center"/>
              <w:rPr>
                <w:rFonts w:ascii="宋体" w:hAnsi="宋体" w:cs="宋体"/>
                <w:szCs w:val="21"/>
              </w:rPr>
            </w:pPr>
          </w:p>
        </w:tc>
        <w:tc>
          <w:tcPr>
            <w:tcW w:w="843" w:type="dxa"/>
            <w:vAlign w:val="center"/>
          </w:tcPr>
          <w:p>
            <w:pPr>
              <w:jc w:val="center"/>
              <w:rPr>
                <w:rFonts w:ascii="宋体" w:hAnsi="宋体" w:cs="宋体"/>
                <w:szCs w:val="21"/>
              </w:rPr>
            </w:pPr>
          </w:p>
        </w:tc>
        <w:tc>
          <w:tcPr>
            <w:tcW w:w="1156" w:type="dxa"/>
            <w:vAlign w:val="center"/>
          </w:tcPr>
          <w:p>
            <w:pPr>
              <w:jc w:val="center"/>
              <w:rPr>
                <w:rFonts w:ascii="宋体" w:hAnsi="宋体" w:cs="宋体"/>
                <w:szCs w:val="21"/>
              </w:rPr>
            </w:pPr>
          </w:p>
        </w:tc>
        <w:tc>
          <w:tcPr>
            <w:tcW w:w="1109"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0" w:hRule="atLeast"/>
        </w:trPr>
        <w:tc>
          <w:tcPr>
            <w:tcW w:w="820" w:type="dxa"/>
            <w:vAlign w:val="center"/>
          </w:tcPr>
          <w:p>
            <w:pPr>
              <w:jc w:val="center"/>
              <w:rPr>
                <w:rFonts w:ascii="宋体" w:hAnsi="宋体" w:cs="宋体"/>
                <w:szCs w:val="21"/>
              </w:rPr>
            </w:pPr>
            <w:r>
              <w:rPr>
                <w:rFonts w:hint="eastAsia" w:ascii="宋体" w:hAnsi="宋体" w:cs="宋体"/>
                <w:szCs w:val="21"/>
              </w:rPr>
              <w:t>3</w:t>
            </w:r>
          </w:p>
        </w:tc>
        <w:tc>
          <w:tcPr>
            <w:tcW w:w="1163" w:type="dxa"/>
            <w:vAlign w:val="center"/>
          </w:tcPr>
          <w:p>
            <w:pPr>
              <w:jc w:val="center"/>
              <w:rPr>
                <w:rFonts w:ascii="宋体" w:hAnsi="宋体" w:cs="宋体"/>
                <w:szCs w:val="21"/>
              </w:rPr>
            </w:pPr>
          </w:p>
        </w:tc>
        <w:tc>
          <w:tcPr>
            <w:tcW w:w="4045" w:type="dxa"/>
            <w:vAlign w:val="center"/>
          </w:tcPr>
          <w:p>
            <w:pPr>
              <w:jc w:val="center"/>
              <w:rPr>
                <w:rFonts w:ascii="宋体" w:hAnsi="宋体" w:cs="宋体"/>
                <w:szCs w:val="21"/>
              </w:rPr>
            </w:pPr>
          </w:p>
        </w:tc>
        <w:tc>
          <w:tcPr>
            <w:tcW w:w="920" w:type="dxa"/>
            <w:vAlign w:val="center"/>
          </w:tcPr>
          <w:p>
            <w:pPr>
              <w:jc w:val="center"/>
              <w:rPr>
                <w:rFonts w:ascii="宋体" w:hAnsi="宋体" w:cs="宋体"/>
                <w:szCs w:val="21"/>
              </w:rPr>
            </w:pPr>
          </w:p>
        </w:tc>
        <w:tc>
          <w:tcPr>
            <w:tcW w:w="843" w:type="dxa"/>
            <w:vAlign w:val="center"/>
          </w:tcPr>
          <w:p>
            <w:pPr>
              <w:jc w:val="center"/>
              <w:rPr>
                <w:rFonts w:ascii="宋体" w:hAnsi="宋体" w:cs="宋体"/>
                <w:szCs w:val="21"/>
              </w:rPr>
            </w:pPr>
          </w:p>
        </w:tc>
        <w:tc>
          <w:tcPr>
            <w:tcW w:w="1156" w:type="dxa"/>
            <w:vAlign w:val="center"/>
          </w:tcPr>
          <w:p>
            <w:pPr>
              <w:jc w:val="center"/>
              <w:rPr>
                <w:rFonts w:ascii="宋体" w:hAnsi="宋体" w:cs="宋体"/>
                <w:szCs w:val="21"/>
              </w:rPr>
            </w:pPr>
          </w:p>
        </w:tc>
        <w:tc>
          <w:tcPr>
            <w:tcW w:w="1109"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10056" w:type="dxa"/>
            <w:gridSpan w:val="7"/>
            <w:vAlign w:val="center"/>
          </w:tcPr>
          <w:p>
            <w:pPr>
              <w:jc w:val="center"/>
              <w:rPr>
                <w:rFonts w:ascii="宋体" w:hAnsi="宋体" w:cs="宋体"/>
                <w:szCs w:val="21"/>
                <w:u w:val="single"/>
              </w:rPr>
            </w:pPr>
            <w:r>
              <w:rPr>
                <w:rFonts w:hint="eastAsia" w:ascii="宋体" w:hAnsi="宋体" w:cs="宋体"/>
                <w:szCs w:val="21"/>
              </w:rPr>
              <w:t>合计总额：￥元；    大写：</w:t>
            </w:r>
          </w:p>
        </w:tc>
      </w:tr>
    </w:tbl>
    <w:p>
      <w:pPr>
        <w:numPr>
          <w:ilvl w:val="0"/>
          <w:numId w:val="17"/>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合同总额包括乙方设计、安装、随机零配件、标配工具、运输保险、调试、培训、质保期服务、各项税费及合同实施过程中不可预见费用等项目相关的一切费用。</w:t>
      </w:r>
    </w:p>
    <w:p>
      <w:pPr>
        <w:numPr>
          <w:ilvl w:val="0"/>
          <w:numId w:val="17"/>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货物名称内容必须与谈判文件中货物名称内容一致。</w:t>
      </w:r>
    </w:p>
    <w:p>
      <w:pPr>
        <w:numPr>
          <w:ilvl w:val="0"/>
          <w:numId w:val="16"/>
        </w:numPr>
        <w:tabs>
          <w:tab w:val="left" w:pos="426"/>
        </w:tabs>
        <w:adjustRightInd w:val="0"/>
        <w:snapToGrid w:val="0"/>
        <w:spacing w:line="360" w:lineRule="auto"/>
        <w:ind w:left="0" w:firstLine="0"/>
        <w:rPr>
          <w:rFonts w:ascii="宋体" w:hAnsi="宋体" w:cs="宋体"/>
          <w:b/>
          <w:szCs w:val="21"/>
        </w:rPr>
      </w:pPr>
      <w:r>
        <w:rPr>
          <w:rFonts w:hint="eastAsia" w:ascii="宋体" w:hAnsi="宋体" w:cs="宋体"/>
          <w:b/>
          <w:szCs w:val="21"/>
        </w:rPr>
        <w:t>合同金额</w:t>
      </w:r>
    </w:p>
    <w:p>
      <w:pPr>
        <w:numPr>
          <w:ilvl w:val="0"/>
          <w:numId w:val="18"/>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合同金额为（大写）：_________________元（￥_______________元）人民币。</w:t>
      </w:r>
    </w:p>
    <w:p>
      <w:pPr>
        <w:numPr>
          <w:ilvl w:val="0"/>
          <w:numId w:val="16"/>
        </w:numPr>
        <w:tabs>
          <w:tab w:val="left" w:pos="426"/>
        </w:tabs>
        <w:adjustRightInd w:val="0"/>
        <w:snapToGrid w:val="0"/>
        <w:spacing w:line="360" w:lineRule="auto"/>
        <w:ind w:left="0" w:firstLine="0"/>
        <w:rPr>
          <w:rFonts w:ascii="宋体" w:hAnsi="宋体" w:cs="宋体"/>
          <w:b/>
          <w:szCs w:val="21"/>
        </w:rPr>
      </w:pPr>
      <w:r>
        <w:rPr>
          <w:rFonts w:hint="eastAsia" w:ascii="宋体" w:hAnsi="宋体" w:cs="宋体"/>
          <w:b/>
          <w:szCs w:val="21"/>
        </w:rPr>
        <w:t>设备要求</w:t>
      </w:r>
    </w:p>
    <w:p>
      <w:pPr>
        <w:numPr>
          <w:ilvl w:val="0"/>
          <w:numId w:val="19"/>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货物为原制造商制造的全新产品，整机无污染，无侵权行为、表面无划损、无任何缺陷隐患，在中国境内可依常规安全合法使用。</w:t>
      </w:r>
    </w:p>
    <w:p>
      <w:pPr>
        <w:numPr>
          <w:ilvl w:val="0"/>
          <w:numId w:val="19"/>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交付验收标准依次序对照适用标准为：①符合中华人民共和国国家安全质量标准、环保标准或行业标准；②符合谈判文件和响应承诺中甲方认可的合理最佳配置、参数及各项要求；③货物来源国官方标准。</w:t>
      </w:r>
    </w:p>
    <w:p>
      <w:pPr>
        <w:numPr>
          <w:ilvl w:val="0"/>
          <w:numId w:val="19"/>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进口产品必须具备原产地证明和商检局的检验证明及合法进货渠道证明（如有适用）。</w:t>
      </w:r>
    </w:p>
    <w:p>
      <w:pPr>
        <w:numPr>
          <w:ilvl w:val="0"/>
          <w:numId w:val="19"/>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货物为原厂商未启封全新包装，具出厂合格证，序列号、包装箱号与出厂批号一致，并可追索查阅。</w:t>
      </w:r>
    </w:p>
    <w:p>
      <w:pPr>
        <w:numPr>
          <w:ilvl w:val="0"/>
          <w:numId w:val="19"/>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乙方应将关键主机设备的用户手册、保修手册、有关单证资料及配备件、随机工具等交付给甲方，使用操作及安全须知等重要资料应附有中文说明。</w:t>
      </w:r>
    </w:p>
    <w:p>
      <w:pPr>
        <w:numPr>
          <w:ilvl w:val="0"/>
          <w:numId w:val="16"/>
        </w:numPr>
        <w:tabs>
          <w:tab w:val="left" w:pos="426"/>
        </w:tabs>
        <w:adjustRightInd w:val="0"/>
        <w:snapToGrid w:val="0"/>
        <w:spacing w:line="360" w:lineRule="auto"/>
        <w:ind w:left="0" w:firstLine="0"/>
        <w:rPr>
          <w:rFonts w:ascii="宋体" w:hAnsi="宋体" w:cs="宋体"/>
          <w:b/>
          <w:szCs w:val="21"/>
        </w:rPr>
      </w:pPr>
      <w:r>
        <w:rPr>
          <w:rFonts w:hint="eastAsia" w:ascii="宋体" w:hAnsi="宋体" w:cs="宋体"/>
          <w:b/>
          <w:szCs w:val="21"/>
        </w:rPr>
        <w:t>交货期、交货方式及交货地点</w:t>
      </w:r>
    </w:p>
    <w:p>
      <w:pPr>
        <w:numPr>
          <w:ilvl w:val="0"/>
          <w:numId w:val="20"/>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交货期：</w:t>
      </w:r>
    </w:p>
    <w:p>
      <w:pPr>
        <w:numPr>
          <w:ilvl w:val="0"/>
          <w:numId w:val="20"/>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交货方式：</w:t>
      </w:r>
    </w:p>
    <w:p>
      <w:pPr>
        <w:numPr>
          <w:ilvl w:val="0"/>
          <w:numId w:val="20"/>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 xml:space="preserve">交货地点： </w:t>
      </w:r>
    </w:p>
    <w:p>
      <w:pPr>
        <w:numPr>
          <w:ilvl w:val="0"/>
          <w:numId w:val="16"/>
        </w:numPr>
        <w:tabs>
          <w:tab w:val="left" w:pos="426"/>
        </w:tabs>
        <w:adjustRightInd w:val="0"/>
        <w:snapToGrid w:val="0"/>
        <w:spacing w:line="360" w:lineRule="auto"/>
        <w:ind w:left="0" w:firstLine="0"/>
        <w:rPr>
          <w:rFonts w:ascii="宋体" w:hAnsi="宋体" w:cs="宋体"/>
          <w:b/>
          <w:szCs w:val="21"/>
        </w:rPr>
      </w:pPr>
      <w:r>
        <w:rPr>
          <w:rFonts w:hint="eastAsia" w:ascii="宋体" w:hAnsi="宋体" w:cs="宋体"/>
          <w:b/>
          <w:szCs w:val="21"/>
        </w:rPr>
        <w:t>付款方式</w:t>
      </w:r>
    </w:p>
    <w:p>
      <w:pPr>
        <w:adjustRightInd w:val="0"/>
        <w:snapToGrid w:val="0"/>
        <w:spacing w:line="360" w:lineRule="auto"/>
        <w:ind w:left="480"/>
        <w:rPr>
          <w:rFonts w:ascii="宋体" w:hAnsi="宋体" w:cs="宋体"/>
          <w:b/>
          <w:szCs w:val="21"/>
        </w:rPr>
      </w:pPr>
    </w:p>
    <w:p>
      <w:pPr>
        <w:numPr>
          <w:ilvl w:val="0"/>
          <w:numId w:val="16"/>
        </w:numPr>
        <w:tabs>
          <w:tab w:val="left" w:pos="426"/>
        </w:tabs>
        <w:adjustRightInd w:val="0"/>
        <w:snapToGrid w:val="0"/>
        <w:spacing w:line="360" w:lineRule="auto"/>
        <w:ind w:left="0" w:firstLine="0"/>
        <w:rPr>
          <w:rFonts w:ascii="宋体" w:hAnsi="宋体" w:cs="宋体"/>
          <w:b/>
          <w:szCs w:val="21"/>
        </w:rPr>
      </w:pPr>
      <w:r>
        <w:rPr>
          <w:rFonts w:hint="eastAsia" w:ascii="宋体" w:hAnsi="宋体" w:cs="宋体"/>
          <w:b/>
          <w:szCs w:val="21"/>
        </w:rPr>
        <w:t>质保期及售后服务要求</w:t>
      </w:r>
    </w:p>
    <w:p>
      <w:pPr>
        <w:numPr>
          <w:ilvl w:val="0"/>
          <w:numId w:val="21"/>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本合同的质量保证期（简称“质保期”）为年，质保期自货物最终验收合格之日起算，质保期内乙方对所供货物实行包修、包换、包退、包维护保养，期满后可同时提供终身 (免费/有偿) 维修保养服务。</w:t>
      </w:r>
    </w:p>
    <w:p>
      <w:pPr>
        <w:numPr>
          <w:ilvl w:val="0"/>
          <w:numId w:val="21"/>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质保期内，如设备或零部件因非人为因素出现故障而造成短期停用时，则质保期和免费维修期相应顺延。如停用时间累计超过60天则质保期重新计算。</w:t>
      </w:r>
    </w:p>
    <w:p>
      <w:pPr>
        <w:numPr>
          <w:ilvl w:val="0"/>
          <w:numId w:val="21"/>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对甲方的服务通知，乙方在接报后1小时内响应，4小时内到达现场，48小时内处理完毕。若在48小时内仍未能有效解决，乙方须免费提供同档次的设备予甲方临时使用。</w:t>
      </w:r>
    </w:p>
    <w:p>
      <w:pPr>
        <w:numPr>
          <w:ilvl w:val="0"/>
          <w:numId w:val="16"/>
        </w:numPr>
        <w:tabs>
          <w:tab w:val="left" w:pos="426"/>
        </w:tabs>
        <w:adjustRightInd w:val="0"/>
        <w:snapToGrid w:val="0"/>
        <w:spacing w:line="360" w:lineRule="auto"/>
        <w:ind w:left="0" w:firstLine="0"/>
        <w:rPr>
          <w:rFonts w:ascii="宋体" w:hAnsi="宋体" w:cs="宋体"/>
          <w:b/>
          <w:szCs w:val="21"/>
        </w:rPr>
      </w:pPr>
      <w:r>
        <w:rPr>
          <w:rFonts w:hint="eastAsia" w:ascii="宋体" w:hAnsi="宋体" w:cs="宋体"/>
          <w:b/>
          <w:szCs w:val="21"/>
        </w:rPr>
        <w:t>安装与调试</w:t>
      </w:r>
    </w:p>
    <w:p>
      <w:pPr>
        <w:numPr>
          <w:ilvl w:val="0"/>
          <w:numId w:val="22"/>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乙方必须依照谈判文件的要求和响应文件的承诺，将设备、系统安装并调试至正常运行的最佳状态。</w:t>
      </w:r>
    </w:p>
    <w:p>
      <w:pPr>
        <w:numPr>
          <w:ilvl w:val="0"/>
          <w:numId w:val="16"/>
        </w:numPr>
        <w:tabs>
          <w:tab w:val="left" w:pos="426"/>
        </w:tabs>
        <w:adjustRightInd w:val="0"/>
        <w:snapToGrid w:val="0"/>
        <w:spacing w:line="360" w:lineRule="auto"/>
        <w:ind w:left="0" w:firstLine="0"/>
        <w:rPr>
          <w:rFonts w:ascii="宋体" w:hAnsi="宋体" w:cs="宋体"/>
          <w:b/>
          <w:szCs w:val="21"/>
        </w:rPr>
      </w:pPr>
      <w:r>
        <w:rPr>
          <w:rFonts w:hint="eastAsia" w:ascii="宋体" w:hAnsi="宋体" w:cs="宋体"/>
          <w:b/>
          <w:szCs w:val="21"/>
        </w:rPr>
        <w:t>验收</w:t>
      </w:r>
    </w:p>
    <w:p>
      <w:pPr>
        <w:numPr>
          <w:ilvl w:val="0"/>
          <w:numId w:val="23"/>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23"/>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进口产品必须具备原产地证明和商检局的检验证明及合法进货渠道证明。甲方有权要求乙方提供进口货物的报关单（如有适用）。</w:t>
      </w:r>
    </w:p>
    <w:p>
      <w:pPr>
        <w:numPr>
          <w:ilvl w:val="0"/>
          <w:numId w:val="23"/>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货物为原厂商未启封全新包装，具出厂合格证，序列号、包装箱号与出厂批号一致，并可追索查阅。所有随设备的附件必须齐全。</w:t>
      </w:r>
    </w:p>
    <w:p>
      <w:pPr>
        <w:numPr>
          <w:ilvl w:val="0"/>
          <w:numId w:val="23"/>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乙方应将关键主机设备的用户手册、保修手册、有关单证资料及配备件、随机工具等交付给甲方，使用操作及安全须知等重要资料应附有中文说明。</w:t>
      </w:r>
    </w:p>
    <w:p>
      <w:pPr>
        <w:numPr>
          <w:ilvl w:val="0"/>
          <w:numId w:val="23"/>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numPr>
          <w:ilvl w:val="0"/>
          <w:numId w:val="16"/>
        </w:numPr>
        <w:tabs>
          <w:tab w:val="left" w:pos="426"/>
        </w:tabs>
        <w:adjustRightInd w:val="0"/>
        <w:snapToGrid w:val="0"/>
        <w:spacing w:line="360" w:lineRule="auto"/>
        <w:ind w:left="0" w:firstLine="0"/>
        <w:rPr>
          <w:rFonts w:ascii="宋体" w:hAnsi="宋体" w:cs="宋体"/>
          <w:b/>
          <w:szCs w:val="21"/>
        </w:rPr>
      </w:pPr>
      <w:r>
        <w:rPr>
          <w:rFonts w:hint="eastAsia" w:ascii="宋体" w:hAnsi="宋体" w:cs="宋体"/>
          <w:b/>
          <w:szCs w:val="21"/>
        </w:rPr>
        <w:t>违约责任与赔偿损失</w:t>
      </w:r>
    </w:p>
    <w:p>
      <w:pPr>
        <w:numPr>
          <w:ilvl w:val="0"/>
          <w:numId w:val="24"/>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乙方交付的货物、提供的服务不符合谈判文件、响应文件或本合同规定的，甲方有权拒收，并且乙方须向甲方支付本合同总价5%的违约金。</w:t>
      </w:r>
    </w:p>
    <w:p>
      <w:pPr>
        <w:numPr>
          <w:ilvl w:val="0"/>
          <w:numId w:val="24"/>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numPr>
          <w:ilvl w:val="0"/>
          <w:numId w:val="24"/>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甲方无正当理由拒收货物/接受服务，到期拒付货物/服务款项的，甲方向乙方偿付本合同总价的5%的违约金。甲方逾期付款，则每日按本合同总价的3‰向乙方偿付违约金。</w:t>
      </w:r>
    </w:p>
    <w:p>
      <w:pPr>
        <w:numPr>
          <w:ilvl w:val="0"/>
          <w:numId w:val="24"/>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其它违约责任按《中华人民共和国合同法》处理。</w:t>
      </w:r>
    </w:p>
    <w:p>
      <w:pPr>
        <w:numPr>
          <w:ilvl w:val="0"/>
          <w:numId w:val="16"/>
        </w:numPr>
        <w:tabs>
          <w:tab w:val="left" w:pos="426"/>
        </w:tabs>
        <w:adjustRightInd w:val="0"/>
        <w:snapToGrid w:val="0"/>
        <w:spacing w:line="360" w:lineRule="auto"/>
        <w:ind w:left="0" w:firstLine="0"/>
        <w:rPr>
          <w:rFonts w:ascii="宋体" w:hAnsi="宋体" w:cs="宋体"/>
          <w:b/>
          <w:szCs w:val="21"/>
        </w:rPr>
      </w:pPr>
      <w:r>
        <w:rPr>
          <w:rFonts w:hint="eastAsia" w:ascii="宋体" w:hAnsi="宋体" w:cs="宋体"/>
          <w:b/>
          <w:szCs w:val="21"/>
        </w:rPr>
        <w:t>争议的解决</w:t>
      </w:r>
    </w:p>
    <w:p>
      <w:pPr>
        <w:snapToGrid w:val="0"/>
        <w:spacing w:line="360" w:lineRule="auto"/>
        <w:ind w:firstLine="420" w:firstLineChars="200"/>
        <w:rPr>
          <w:rFonts w:ascii="宋体" w:hAnsi="宋体" w:cs="宋体"/>
          <w:szCs w:val="21"/>
        </w:rPr>
      </w:pPr>
      <w:r>
        <w:rPr>
          <w:rFonts w:hint="eastAsia" w:ascii="宋体" w:hAnsi="宋体" w:cs="宋体"/>
          <w:szCs w:val="21"/>
        </w:rPr>
        <w:t>合同执行过程中发生的任何争议，如双方不能通过友好协商解决，甲、乙双方一致同意向甲方所在地人民法院提起诉讼。</w:t>
      </w:r>
    </w:p>
    <w:p>
      <w:pPr>
        <w:numPr>
          <w:ilvl w:val="0"/>
          <w:numId w:val="16"/>
        </w:numPr>
        <w:tabs>
          <w:tab w:val="left" w:pos="426"/>
          <w:tab w:val="left" w:pos="567"/>
          <w:tab w:val="clear" w:pos="960"/>
        </w:tabs>
        <w:adjustRightInd w:val="0"/>
        <w:snapToGrid w:val="0"/>
        <w:spacing w:line="360" w:lineRule="auto"/>
        <w:ind w:left="0" w:firstLine="0"/>
        <w:rPr>
          <w:rFonts w:ascii="宋体" w:hAnsi="宋体" w:cs="宋体"/>
          <w:b/>
          <w:szCs w:val="21"/>
        </w:rPr>
      </w:pPr>
      <w:r>
        <w:rPr>
          <w:rFonts w:hint="eastAsia" w:ascii="宋体" w:hAnsi="宋体" w:cs="宋体"/>
          <w:b/>
          <w:szCs w:val="21"/>
        </w:rPr>
        <w:t>不可抗力</w:t>
      </w:r>
    </w:p>
    <w:p>
      <w:pPr>
        <w:numPr>
          <w:ilvl w:val="0"/>
          <w:numId w:val="25"/>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6"/>
        </w:numPr>
        <w:tabs>
          <w:tab w:val="left" w:pos="426"/>
          <w:tab w:val="left" w:pos="567"/>
          <w:tab w:val="clear" w:pos="960"/>
        </w:tabs>
        <w:adjustRightInd w:val="0"/>
        <w:snapToGrid w:val="0"/>
        <w:spacing w:line="360" w:lineRule="auto"/>
        <w:ind w:left="0" w:firstLine="0"/>
        <w:rPr>
          <w:rFonts w:ascii="宋体" w:hAnsi="宋体" w:cs="宋体"/>
          <w:b/>
          <w:szCs w:val="21"/>
        </w:rPr>
      </w:pPr>
      <w:r>
        <w:rPr>
          <w:rFonts w:hint="eastAsia" w:ascii="宋体" w:hAnsi="宋体" w:cs="宋体"/>
          <w:b/>
          <w:szCs w:val="21"/>
        </w:rPr>
        <w:t>税费</w:t>
      </w:r>
    </w:p>
    <w:p>
      <w:pPr>
        <w:snapToGrid w:val="0"/>
        <w:spacing w:line="360" w:lineRule="auto"/>
        <w:ind w:firstLine="525" w:firstLineChars="250"/>
        <w:rPr>
          <w:rFonts w:ascii="宋体" w:hAnsi="宋体" w:cs="宋体"/>
          <w:szCs w:val="21"/>
        </w:rPr>
      </w:pPr>
      <w:r>
        <w:rPr>
          <w:rFonts w:hint="eastAsia" w:ascii="宋体" w:hAnsi="宋体" w:cs="宋体"/>
          <w:szCs w:val="21"/>
        </w:rPr>
        <w:t>在中国境内、外发生的与本合同执行有关的一切税费均由乙方负担。</w:t>
      </w:r>
    </w:p>
    <w:p>
      <w:pPr>
        <w:numPr>
          <w:ilvl w:val="0"/>
          <w:numId w:val="16"/>
        </w:numPr>
        <w:tabs>
          <w:tab w:val="left" w:pos="630"/>
          <w:tab w:val="clear" w:pos="960"/>
        </w:tabs>
        <w:adjustRightInd w:val="0"/>
        <w:snapToGrid w:val="0"/>
        <w:spacing w:line="360" w:lineRule="auto"/>
        <w:ind w:left="0" w:firstLine="0"/>
        <w:rPr>
          <w:rFonts w:ascii="宋体" w:hAnsi="宋体" w:cs="宋体"/>
          <w:b/>
          <w:szCs w:val="21"/>
        </w:rPr>
      </w:pPr>
      <w:r>
        <w:rPr>
          <w:rFonts w:hint="eastAsia" w:ascii="宋体" w:hAnsi="宋体" w:cs="宋体"/>
          <w:b/>
          <w:szCs w:val="21"/>
        </w:rPr>
        <w:t>其它</w:t>
      </w:r>
    </w:p>
    <w:p>
      <w:pPr>
        <w:numPr>
          <w:ilvl w:val="0"/>
          <w:numId w:val="26"/>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本合同所有附件、谈判文件、响应文件、成交通知书均为合同的有效组成部分，与本合同具有同等法律效力。</w:t>
      </w:r>
    </w:p>
    <w:p>
      <w:pPr>
        <w:numPr>
          <w:ilvl w:val="0"/>
          <w:numId w:val="26"/>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在执行本合同的过程中，所有经双方签署确认的文件（包括会议纪要、补充协议、往来信函）即成为本合同的有效组成部分。</w:t>
      </w:r>
    </w:p>
    <w:p>
      <w:pPr>
        <w:numPr>
          <w:ilvl w:val="0"/>
          <w:numId w:val="26"/>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 xml:space="preserve">如一方地址、电话、传真号码有变更，应在变更当日内书面通知对方，否则，应承担相应责任。 </w:t>
      </w:r>
    </w:p>
    <w:p>
      <w:pPr>
        <w:numPr>
          <w:ilvl w:val="0"/>
          <w:numId w:val="26"/>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除甲方事先书面同意外，乙方不得部分或全部转让其应履行的合同项下的义务。</w:t>
      </w:r>
    </w:p>
    <w:p>
      <w:pPr>
        <w:numPr>
          <w:ilvl w:val="0"/>
          <w:numId w:val="16"/>
        </w:numPr>
        <w:tabs>
          <w:tab w:val="left" w:pos="630"/>
          <w:tab w:val="clear" w:pos="960"/>
        </w:tabs>
        <w:adjustRightInd w:val="0"/>
        <w:snapToGrid w:val="0"/>
        <w:spacing w:line="360" w:lineRule="auto"/>
        <w:ind w:left="0" w:firstLine="0"/>
        <w:rPr>
          <w:rFonts w:ascii="宋体" w:hAnsi="宋体" w:cs="宋体"/>
          <w:b/>
          <w:szCs w:val="21"/>
        </w:rPr>
      </w:pPr>
      <w:r>
        <w:rPr>
          <w:rFonts w:hint="eastAsia" w:ascii="宋体" w:hAnsi="宋体" w:cs="宋体"/>
          <w:b/>
          <w:szCs w:val="21"/>
        </w:rPr>
        <w:t>合同生效</w:t>
      </w:r>
    </w:p>
    <w:p>
      <w:pPr>
        <w:numPr>
          <w:ilvl w:val="0"/>
          <w:numId w:val="27"/>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合同自甲乙双方法人代表或其授权代表签字盖章之日起生效。</w:t>
      </w:r>
    </w:p>
    <w:p>
      <w:pPr>
        <w:numPr>
          <w:ilvl w:val="0"/>
          <w:numId w:val="27"/>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合同壹式份，其中甲乙双方各执份，采购代理机构执壹份，政府采购监督管理部门份。</w:t>
      </w:r>
    </w:p>
    <w:p>
      <w:pPr>
        <w:spacing w:line="420" w:lineRule="auto"/>
        <w:rPr>
          <w:rFonts w:ascii="宋体" w:hAnsi="宋体" w:cs="宋体"/>
          <w:szCs w:val="21"/>
        </w:rPr>
      </w:pPr>
      <w:r>
        <w:rPr>
          <w:rFonts w:hint="eastAsia" w:ascii="宋体" w:hAnsi="宋体" w:cs="宋体"/>
          <w:szCs w:val="21"/>
        </w:rPr>
        <w:t>甲方（盖章）：                          乙方（盖章）：</w:t>
      </w:r>
    </w:p>
    <w:p>
      <w:pPr>
        <w:spacing w:line="420" w:lineRule="auto"/>
        <w:rPr>
          <w:rFonts w:ascii="宋体" w:hAnsi="宋体" w:cs="宋体"/>
          <w:szCs w:val="21"/>
        </w:rPr>
      </w:pPr>
      <w:r>
        <w:rPr>
          <w:rFonts w:hint="eastAsia" w:ascii="宋体" w:hAnsi="宋体" w:cs="宋体"/>
          <w:szCs w:val="21"/>
        </w:rPr>
        <w:t xml:space="preserve">代表：                                  代表： </w:t>
      </w:r>
    </w:p>
    <w:p>
      <w:pPr>
        <w:spacing w:line="420" w:lineRule="auto"/>
        <w:rPr>
          <w:rFonts w:ascii="宋体" w:hAnsi="宋体" w:cs="宋体"/>
          <w:szCs w:val="21"/>
        </w:rPr>
      </w:pPr>
      <w:r>
        <w:rPr>
          <w:rFonts w:hint="eastAsia" w:ascii="宋体" w:hAnsi="宋体" w:cs="宋体"/>
          <w:szCs w:val="21"/>
        </w:rPr>
        <w:t>签定地点：</w:t>
      </w:r>
    </w:p>
    <w:p>
      <w:pPr>
        <w:spacing w:line="420" w:lineRule="auto"/>
        <w:rPr>
          <w:rFonts w:ascii="宋体" w:hAnsi="宋体" w:cs="宋体"/>
          <w:szCs w:val="21"/>
        </w:rPr>
      </w:pPr>
      <w:r>
        <w:rPr>
          <w:rFonts w:hint="eastAsia" w:ascii="宋体" w:hAnsi="宋体" w:cs="宋体"/>
          <w:szCs w:val="21"/>
        </w:rPr>
        <w:t xml:space="preserve">签定日期：        年     月    日       签定日期：        年     月     日    </w:t>
      </w:r>
    </w:p>
    <w:p>
      <w:pPr>
        <w:spacing w:line="420" w:lineRule="auto"/>
        <w:ind w:firstLine="4200" w:firstLineChars="2000"/>
        <w:rPr>
          <w:rFonts w:ascii="宋体" w:hAnsi="宋体" w:cs="宋体"/>
          <w:szCs w:val="21"/>
        </w:rPr>
      </w:pPr>
      <w:r>
        <w:rPr>
          <w:rFonts w:hint="eastAsia" w:ascii="宋体" w:hAnsi="宋体" w:cs="宋体"/>
          <w:szCs w:val="21"/>
        </w:rPr>
        <w:t>开户名称：</w:t>
      </w:r>
    </w:p>
    <w:p>
      <w:pPr>
        <w:spacing w:line="420" w:lineRule="auto"/>
        <w:ind w:firstLine="4200" w:firstLineChars="2000"/>
        <w:rPr>
          <w:rFonts w:ascii="宋体" w:hAnsi="宋体" w:cs="宋体"/>
          <w:szCs w:val="21"/>
        </w:rPr>
      </w:pPr>
      <w:r>
        <w:rPr>
          <w:rFonts w:hint="eastAsia" w:ascii="宋体" w:hAnsi="宋体" w:cs="宋体"/>
          <w:szCs w:val="21"/>
        </w:rPr>
        <w:t>银行账号：</w:t>
      </w:r>
    </w:p>
    <w:p>
      <w:pPr>
        <w:spacing w:line="420" w:lineRule="auto"/>
        <w:ind w:firstLine="4200" w:firstLineChars="2000"/>
        <w:rPr>
          <w:rFonts w:ascii="宋体" w:hAnsi="宋体" w:cs="宋体"/>
          <w:szCs w:val="21"/>
        </w:rPr>
      </w:pPr>
      <w:r>
        <w:rPr>
          <w:rFonts w:hint="eastAsia" w:ascii="宋体" w:hAnsi="宋体" w:cs="宋体"/>
          <w:szCs w:val="21"/>
        </w:rPr>
        <w:t>开 户 行：</w:t>
      </w:r>
    </w:p>
    <w:p>
      <w:pPr>
        <w:spacing w:line="360" w:lineRule="auto"/>
        <w:jc w:val="center"/>
        <w:rPr>
          <w:rFonts w:ascii="宋体" w:hAnsi="宋体"/>
          <w:b/>
          <w:bCs/>
          <w:sz w:val="28"/>
        </w:rPr>
      </w:pPr>
    </w:p>
    <w:p>
      <w:pPr>
        <w:adjustRightInd w:val="0"/>
        <w:snapToGrid w:val="0"/>
        <w:spacing w:line="360" w:lineRule="auto"/>
        <w:outlineLvl w:val="0"/>
        <w:rPr>
          <w:rFonts w:ascii="宋体" w:hAnsi="宋体"/>
          <w:b/>
          <w:bCs/>
          <w:sz w:val="28"/>
        </w:rPr>
      </w:pPr>
    </w:p>
    <w:p>
      <w:pPr>
        <w:spacing w:line="360" w:lineRule="auto"/>
        <w:jc w:val="center"/>
        <w:rPr>
          <w:rFonts w:ascii="宋体" w:hAnsi="宋体"/>
          <w:b/>
          <w:bCs/>
          <w:sz w:val="28"/>
        </w:rPr>
        <w:sectPr>
          <w:footerReference r:id="rId5" w:type="default"/>
          <w:pgSz w:w="11906" w:h="16838"/>
          <w:pgMar w:top="1134" w:right="1134" w:bottom="1134" w:left="1134" w:header="643" w:footer="606" w:gutter="0"/>
          <w:cols w:space="425" w:num="1"/>
          <w:docGrid w:type="lines" w:linePitch="312" w:charSpace="0"/>
        </w:sectPr>
      </w:pPr>
    </w:p>
    <w:p>
      <w:pPr>
        <w:snapToGrid w:val="0"/>
        <w:spacing w:line="360" w:lineRule="auto"/>
        <w:jc w:val="center"/>
        <w:outlineLvl w:val="0"/>
        <w:rPr>
          <w:b/>
          <w:bCs/>
          <w:sz w:val="28"/>
          <w:szCs w:val="28"/>
        </w:rPr>
      </w:pPr>
      <w:bookmarkStart w:id="12" w:name="_Toc27128621"/>
      <w:r>
        <w:rPr>
          <w:rFonts w:hint="eastAsia"/>
          <w:b/>
          <w:bCs/>
          <w:sz w:val="28"/>
          <w:szCs w:val="28"/>
        </w:rPr>
        <w:t>第六章响应文件格式</w:t>
      </w:r>
      <w:bookmarkEnd w:id="12"/>
    </w:p>
    <w:p>
      <w:pPr>
        <w:pStyle w:val="3"/>
        <w:spacing w:line="440" w:lineRule="exact"/>
        <w:jc w:val="center"/>
        <w:rPr>
          <w:b w:val="0"/>
        </w:rPr>
      </w:pPr>
      <w:bookmarkStart w:id="13" w:name="_Toc275865604"/>
      <w:r>
        <w:rPr>
          <w:rFonts w:hint="eastAsia"/>
          <w:b w:val="0"/>
        </w:rPr>
        <w:t>响应文件包装封面参考</w:t>
      </w:r>
    </w:p>
    <w:tbl>
      <w:tblPr>
        <w:tblStyle w:val="30"/>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657" w:type="dxa"/>
          </w:tcPr>
          <w:p>
            <w:pPr>
              <w:pStyle w:val="15"/>
              <w:spacing w:line="360" w:lineRule="auto"/>
              <w:ind w:firstLine="482" w:firstLineChars="150"/>
              <w:rPr>
                <w:rFonts w:ascii="仿宋_GB2312" w:eastAsia="仿宋_GB2312"/>
                <w:b/>
                <w:sz w:val="32"/>
              </w:rPr>
            </w:pPr>
          </w:p>
          <w:p>
            <w:pPr>
              <w:pStyle w:val="15"/>
              <w:spacing w:line="360" w:lineRule="auto"/>
              <w:ind w:firstLine="482" w:firstLineChars="150"/>
              <w:rPr>
                <w:rFonts w:ascii="仿宋_GB2312" w:eastAsia="仿宋_GB2312"/>
                <w:b/>
                <w:sz w:val="32"/>
              </w:rPr>
            </w:pPr>
          </w:p>
          <w:p>
            <w:pPr>
              <w:pStyle w:val="15"/>
              <w:spacing w:line="360" w:lineRule="auto"/>
              <w:ind w:firstLine="482" w:firstLineChars="150"/>
              <w:rPr>
                <w:rFonts w:ascii="仿宋_GB2312" w:eastAsia="仿宋_GB2312"/>
                <w:b/>
                <w:sz w:val="32"/>
              </w:rPr>
            </w:pPr>
          </w:p>
          <w:p>
            <w:pPr>
              <w:pStyle w:val="15"/>
              <w:spacing w:line="360" w:lineRule="auto"/>
              <w:jc w:val="center"/>
              <w:rPr>
                <w:rFonts w:ascii="黑体" w:eastAsia="黑体"/>
                <w:b/>
                <w:sz w:val="72"/>
                <w:szCs w:val="72"/>
              </w:rPr>
            </w:pPr>
            <w:r>
              <w:rPr>
                <w:rFonts w:hint="eastAsia" w:ascii="黑体" w:eastAsia="黑体"/>
                <w:b/>
                <w:sz w:val="72"/>
                <w:szCs w:val="72"/>
              </w:rPr>
              <w:t>响 应 文 件</w:t>
            </w:r>
          </w:p>
          <w:p>
            <w:pPr>
              <w:pStyle w:val="15"/>
              <w:spacing w:line="360" w:lineRule="auto"/>
              <w:jc w:val="center"/>
              <w:rPr>
                <w:rFonts w:ascii="黑体" w:eastAsia="黑体"/>
                <w:b/>
                <w:sz w:val="32"/>
              </w:rPr>
            </w:pPr>
            <w:r>
              <w:rPr>
                <w:rFonts w:hint="eastAsia" w:ascii="黑体" w:eastAsia="黑体"/>
                <w:b/>
                <w:sz w:val="52"/>
                <w:szCs w:val="52"/>
              </w:rPr>
              <w:t xml:space="preserve">口 </w:t>
            </w:r>
            <w:r>
              <w:rPr>
                <w:rFonts w:hint="eastAsia" w:ascii="黑体" w:eastAsia="黑体"/>
                <w:b/>
                <w:sz w:val="32"/>
              </w:rPr>
              <w:t>报价信封</w:t>
            </w:r>
          </w:p>
          <w:p>
            <w:pPr>
              <w:pStyle w:val="15"/>
              <w:spacing w:line="360" w:lineRule="auto"/>
              <w:ind w:firstLine="3654" w:firstLineChars="700"/>
              <w:rPr>
                <w:rFonts w:ascii="黑体" w:eastAsia="黑体"/>
                <w:b/>
                <w:sz w:val="32"/>
              </w:rPr>
            </w:pPr>
            <w:r>
              <w:rPr>
                <w:rFonts w:hint="eastAsia" w:ascii="黑体" w:eastAsia="黑体"/>
                <w:b/>
                <w:sz w:val="52"/>
                <w:szCs w:val="52"/>
              </w:rPr>
              <w:t xml:space="preserve">口 </w:t>
            </w:r>
            <w:r>
              <w:rPr>
                <w:rFonts w:hint="eastAsia" w:ascii="黑体" w:eastAsia="黑体"/>
                <w:b/>
                <w:sz w:val="32"/>
              </w:rPr>
              <w:t>正本</w:t>
            </w:r>
          </w:p>
          <w:p>
            <w:pPr>
              <w:pStyle w:val="15"/>
              <w:spacing w:line="360" w:lineRule="auto"/>
              <w:ind w:firstLine="3654" w:firstLineChars="700"/>
              <w:rPr>
                <w:rFonts w:ascii="黑体" w:eastAsia="黑体"/>
                <w:b/>
                <w:sz w:val="32"/>
              </w:rPr>
            </w:pPr>
            <w:r>
              <w:rPr>
                <w:rFonts w:hint="eastAsia" w:ascii="黑体" w:eastAsia="黑体"/>
                <w:b/>
                <w:sz w:val="52"/>
                <w:szCs w:val="52"/>
              </w:rPr>
              <w:t xml:space="preserve">口 </w:t>
            </w:r>
            <w:r>
              <w:rPr>
                <w:rFonts w:hint="eastAsia" w:ascii="黑体" w:eastAsia="黑体"/>
                <w:b/>
                <w:sz w:val="32"/>
              </w:rPr>
              <w:t>副本</w:t>
            </w:r>
          </w:p>
          <w:p>
            <w:pPr>
              <w:pStyle w:val="15"/>
              <w:spacing w:line="360" w:lineRule="auto"/>
              <w:rPr>
                <w:rFonts w:ascii="仿宋_GB2312" w:eastAsia="仿宋_GB2312"/>
                <w:b/>
                <w:sz w:val="32"/>
              </w:rPr>
            </w:pPr>
          </w:p>
          <w:p>
            <w:pPr>
              <w:pStyle w:val="15"/>
              <w:spacing w:line="360" w:lineRule="auto"/>
              <w:rPr>
                <w:rFonts w:ascii="仿宋_GB2312" w:eastAsia="仿宋_GB2312"/>
                <w:b/>
                <w:sz w:val="32"/>
              </w:rPr>
            </w:pPr>
          </w:p>
          <w:p>
            <w:pPr>
              <w:pStyle w:val="15"/>
              <w:spacing w:line="360" w:lineRule="auto"/>
              <w:rPr>
                <w:rFonts w:ascii="仿宋_GB2312" w:eastAsia="仿宋_GB2312"/>
                <w:b/>
                <w:sz w:val="32"/>
              </w:rPr>
            </w:pPr>
          </w:p>
          <w:p>
            <w:pPr>
              <w:pStyle w:val="15"/>
              <w:spacing w:line="400" w:lineRule="exact"/>
              <w:ind w:firstLine="900" w:firstLineChars="320"/>
              <w:rPr>
                <w:rFonts w:ascii="仿宋_GB2312" w:eastAsia="仿宋_GB2312"/>
                <w:b/>
                <w:sz w:val="28"/>
                <w:szCs w:val="28"/>
              </w:rPr>
            </w:pPr>
            <w:r>
              <w:rPr>
                <w:rFonts w:hint="eastAsia" w:ascii="仿宋_GB2312" w:eastAsia="仿宋_GB2312"/>
                <w:b/>
                <w:sz w:val="28"/>
                <w:szCs w:val="28"/>
              </w:rPr>
              <w:t>项目编号：CLF0119SZ14QY80</w:t>
            </w:r>
          </w:p>
          <w:p>
            <w:pPr>
              <w:pStyle w:val="15"/>
              <w:spacing w:line="400" w:lineRule="exact"/>
              <w:ind w:firstLine="900" w:firstLineChars="320"/>
              <w:rPr>
                <w:rFonts w:ascii="仿宋_GB2312" w:eastAsia="仿宋_GB2312"/>
                <w:b/>
                <w:sz w:val="28"/>
                <w:szCs w:val="28"/>
              </w:rPr>
            </w:pPr>
            <w:r>
              <w:rPr>
                <w:rFonts w:hint="eastAsia" w:ascii="仿宋_GB2312" w:eastAsia="仿宋_GB2312"/>
                <w:b/>
                <w:sz w:val="28"/>
                <w:szCs w:val="28"/>
              </w:rPr>
              <w:t>项目名称：国家税务总局深圳市罗湖区税务局税收征管表格印制项目</w:t>
            </w:r>
          </w:p>
          <w:p>
            <w:pPr>
              <w:pStyle w:val="15"/>
              <w:spacing w:line="400" w:lineRule="exact"/>
              <w:ind w:firstLine="900" w:firstLineChars="320"/>
              <w:rPr>
                <w:rFonts w:ascii="仿宋_GB2312" w:eastAsia="仿宋_GB2312"/>
                <w:b/>
                <w:sz w:val="28"/>
                <w:szCs w:val="28"/>
              </w:rPr>
            </w:pPr>
            <w:r>
              <w:rPr>
                <w:rFonts w:hint="eastAsia" w:ascii="仿宋_GB2312" w:eastAsia="仿宋_GB2312"/>
                <w:b/>
                <w:sz w:val="28"/>
                <w:szCs w:val="28"/>
              </w:rPr>
              <w:t>响应供应商名称：</w:t>
            </w:r>
          </w:p>
          <w:p>
            <w:pPr>
              <w:pStyle w:val="15"/>
              <w:spacing w:line="400" w:lineRule="exact"/>
              <w:ind w:firstLine="900" w:firstLineChars="320"/>
              <w:rPr>
                <w:rFonts w:ascii="仿宋_GB2312" w:eastAsia="仿宋_GB2312"/>
                <w:b/>
                <w:sz w:val="28"/>
                <w:szCs w:val="28"/>
              </w:rPr>
            </w:pPr>
            <w:r>
              <w:rPr>
                <w:rFonts w:hint="eastAsia" w:ascii="仿宋_GB2312" w:eastAsia="仿宋_GB2312"/>
                <w:b/>
                <w:sz w:val="28"/>
                <w:szCs w:val="28"/>
              </w:rPr>
              <w:t>响应供应商地址：</w:t>
            </w:r>
          </w:p>
          <w:p>
            <w:pPr>
              <w:pStyle w:val="15"/>
              <w:spacing w:line="400" w:lineRule="exact"/>
              <w:ind w:firstLine="900" w:firstLineChars="320"/>
              <w:rPr>
                <w:rFonts w:ascii="仿宋_GB2312" w:eastAsia="仿宋_GB2312"/>
                <w:b/>
                <w:sz w:val="28"/>
                <w:szCs w:val="28"/>
              </w:rPr>
            </w:pPr>
            <w:r>
              <w:rPr>
                <w:rFonts w:hint="eastAsia" w:ascii="仿宋_GB2312" w:eastAsia="仿宋_GB2312"/>
                <w:b/>
                <w:sz w:val="28"/>
                <w:szCs w:val="28"/>
              </w:rPr>
              <w:t xml:space="preserve">参投包组：                </w:t>
            </w:r>
          </w:p>
          <w:p>
            <w:pPr>
              <w:tabs>
                <w:tab w:val="left" w:pos="851"/>
              </w:tabs>
              <w:autoSpaceDE w:val="0"/>
              <w:autoSpaceDN w:val="0"/>
              <w:adjustRightInd w:val="0"/>
              <w:snapToGrid w:val="0"/>
              <w:spacing w:line="420" w:lineRule="auto"/>
              <w:rPr>
                <w:rFonts w:ascii="仿宋_GB2312" w:eastAsia="仿宋_GB2312"/>
                <w:b/>
                <w:sz w:val="32"/>
              </w:rPr>
            </w:pPr>
          </w:p>
        </w:tc>
      </w:tr>
    </w:tbl>
    <w:p>
      <w:pPr>
        <w:jc w:val="center"/>
        <w:rPr>
          <w:rFonts w:ascii="宋体" w:hAnsi="宋体"/>
          <w:b/>
          <w:sz w:val="24"/>
        </w:rPr>
      </w:pPr>
      <w:r>
        <w:br w:type="page"/>
      </w:r>
      <w:r>
        <w:rPr>
          <w:rFonts w:hint="eastAsia" w:ascii="宋体" w:hAnsi="宋体"/>
          <w:b/>
          <w:sz w:val="24"/>
        </w:rPr>
        <w:t>响应文件目录表</w:t>
      </w:r>
      <w:bookmarkEnd w:id="13"/>
    </w:p>
    <w:p>
      <w:pPr>
        <w:ind w:firstLine="105" w:firstLineChars="50"/>
        <w:rPr>
          <w:rFonts w:ascii="宋体" w:hAnsi="宋体"/>
        </w:rPr>
      </w:pPr>
      <w:r>
        <w:rPr>
          <w:rFonts w:hint="eastAsia" w:ascii="宋体" w:hAnsi="宋体"/>
        </w:rPr>
        <w:t>项目名称：</w:t>
      </w:r>
      <w:r>
        <w:rPr>
          <w:rFonts w:hint="eastAsia" w:ascii="宋体" w:hAnsi="宋体"/>
          <w:szCs w:val="21"/>
        </w:rPr>
        <w:t>国家税务总局深圳市罗湖区税务局税收征管表格印制项目</w:t>
      </w:r>
    </w:p>
    <w:p>
      <w:pPr>
        <w:ind w:firstLine="105" w:firstLineChars="50"/>
        <w:rPr>
          <w:rFonts w:ascii="宋体" w:hAnsi="宋体"/>
        </w:rPr>
      </w:pPr>
      <w:r>
        <w:rPr>
          <w:rFonts w:hint="eastAsia" w:ascii="宋体" w:hAnsi="宋体"/>
        </w:rPr>
        <w:t>项目编号：CLF0119SZ14QY80</w:t>
      </w:r>
    </w:p>
    <w:tbl>
      <w:tblPr>
        <w:tblStyle w:val="30"/>
        <w:tblW w:w="935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3"/>
        <w:gridCol w:w="5638"/>
        <w:gridCol w:w="771"/>
        <w:gridCol w:w="731"/>
        <w:gridCol w:w="784"/>
        <w:gridCol w:w="7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2" w:hRule="atLeast"/>
          <w:tblHeader/>
        </w:trPr>
        <w:tc>
          <w:tcPr>
            <w:tcW w:w="673" w:type="dxa"/>
            <w:vMerge w:val="restart"/>
            <w:tcBorders>
              <w:top w:val="single" w:color="auto" w:sz="12" w:space="0"/>
              <w:left w:val="single" w:color="auto" w:sz="12" w:space="0"/>
              <w:bottom w:val="single" w:color="auto" w:sz="6" w:space="0"/>
              <w:right w:val="single" w:color="auto" w:sz="6" w:space="0"/>
            </w:tcBorders>
            <w:shd w:val="clear" w:color="auto" w:fill="EEECE1"/>
            <w:vAlign w:val="center"/>
          </w:tcPr>
          <w:p>
            <w:pPr>
              <w:ind w:left="-84" w:leftChars="-40" w:right="-84" w:rightChars="-40"/>
              <w:jc w:val="center"/>
              <w:rPr>
                <w:rFonts w:ascii="宋体" w:hAnsi="宋体"/>
                <w:b/>
                <w:szCs w:val="21"/>
              </w:rPr>
            </w:pPr>
            <w:r>
              <w:rPr>
                <w:rFonts w:hint="eastAsia" w:ascii="宋体" w:hAnsi="宋体"/>
                <w:b/>
                <w:szCs w:val="21"/>
              </w:rPr>
              <w:t>序号</w:t>
            </w:r>
          </w:p>
        </w:tc>
        <w:tc>
          <w:tcPr>
            <w:tcW w:w="5638" w:type="dxa"/>
            <w:vMerge w:val="restart"/>
            <w:tcBorders>
              <w:top w:val="single" w:color="auto" w:sz="12" w:space="0"/>
              <w:left w:val="single" w:color="auto" w:sz="6" w:space="0"/>
              <w:bottom w:val="single" w:color="auto" w:sz="6" w:space="0"/>
              <w:right w:val="single" w:color="auto" w:sz="6" w:space="0"/>
            </w:tcBorders>
            <w:shd w:val="clear" w:color="auto" w:fill="EEECE1"/>
            <w:vAlign w:val="center"/>
          </w:tcPr>
          <w:p>
            <w:pPr>
              <w:ind w:left="-84" w:leftChars="-40" w:right="-84" w:rightChars="-40"/>
              <w:jc w:val="center"/>
              <w:rPr>
                <w:rFonts w:ascii="宋体" w:hAnsi="宋体"/>
                <w:b/>
                <w:szCs w:val="21"/>
              </w:rPr>
            </w:pPr>
            <w:r>
              <w:rPr>
                <w:rFonts w:hint="eastAsia" w:ascii="宋体" w:hAnsi="宋体"/>
                <w:b/>
                <w:szCs w:val="21"/>
              </w:rPr>
              <w:t>文    件    名    称</w:t>
            </w:r>
          </w:p>
        </w:tc>
        <w:tc>
          <w:tcPr>
            <w:tcW w:w="1502" w:type="dxa"/>
            <w:gridSpan w:val="2"/>
            <w:tcBorders>
              <w:top w:val="single" w:color="auto" w:sz="12" w:space="0"/>
              <w:left w:val="single" w:color="auto" w:sz="6" w:space="0"/>
              <w:bottom w:val="single" w:color="auto" w:sz="6" w:space="0"/>
              <w:right w:val="single" w:color="auto" w:sz="6" w:space="0"/>
            </w:tcBorders>
            <w:shd w:val="clear" w:color="auto" w:fill="EEECE1"/>
            <w:vAlign w:val="center"/>
          </w:tcPr>
          <w:p>
            <w:pPr>
              <w:ind w:left="-84" w:leftChars="-40" w:right="-84" w:rightChars="-40"/>
              <w:jc w:val="center"/>
              <w:rPr>
                <w:rFonts w:ascii="宋体" w:hAnsi="宋体"/>
                <w:b/>
                <w:szCs w:val="21"/>
              </w:rPr>
            </w:pPr>
            <w:r>
              <w:rPr>
                <w:rFonts w:hint="eastAsia" w:ascii="宋体" w:hAnsi="宋体"/>
                <w:b/>
                <w:szCs w:val="21"/>
              </w:rPr>
              <w:t>提交情况</w:t>
            </w:r>
          </w:p>
        </w:tc>
        <w:tc>
          <w:tcPr>
            <w:tcW w:w="784" w:type="dxa"/>
            <w:vMerge w:val="restart"/>
            <w:tcBorders>
              <w:top w:val="single" w:color="auto" w:sz="12" w:space="0"/>
              <w:left w:val="single" w:color="auto" w:sz="6" w:space="0"/>
              <w:bottom w:val="single" w:color="auto" w:sz="6" w:space="0"/>
              <w:right w:val="single" w:color="auto" w:sz="6" w:space="0"/>
            </w:tcBorders>
            <w:shd w:val="clear" w:color="auto" w:fill="EEECE1"/>
            <w:vAlign w:val="center"/>
          </w:tcPr>
          <w:p>
            <w:pPr>
              <w:ind w:left="-84" w:leftChars="-40" w:right="-84" w:rightChars="-40"/>
              <w:jc w:val="center"/>
              <w:rPr>
                <w:rFonts w:ascii="宋体" w:hAnsi="宋体"/>
                <w:b/>
                <w:szCs w:val="21"/>
              </w:rPr>
            </w:pPr>
            <w:r>
              <w:rPr>
                <w:rFonts w:hint="eastAsia" w:ascii="宋体" w:hAnsi="宋体"/>
                <w:b/>
                <w:szCs w:val="21"/>
              </w:rPr>
              <w:t>页码范围</w:t>
            </w:r>
          </w:p>
        </w:tc>
        <w:tc>
          <w:tcPr>
            <w:tcW w:w="754" w:type="dxa"/>
            <w:vMerge w:val="restart"/>
            <w:tcBorders>
              <w:top w:val="single" w:color="auto" w:sz="12" w:space="0"/>
              <w:left w:val="single" w:color="auto" w:sz="6" w:space="0"/>
              <w:bottom w:val="single" w:color="auto" w:sz="6" w:space="0"/>
              <w:right w:val="single" w:color="auto" w:sz="12" w:space="0"/>
            </w:tcBorders>
            <w:shd w:val="clear" w:color="auto" w:fill="EEECE1"/>
            <w:vAlign w:val="center"/>
          </w:tcPr>
          <w:p>
            <w:pPr>
              <w:ind w:left="-84" w:leftChars="-40" w:right="-84" w:rightChars="-40"/>
              <w:jc w:val="center"/>
              <w:rPr>
                <w:rFonts w:ascii="宋体" w:hAnsi="宋体"/>
                <w:b/>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 w:hRule="atLeast"/>
          <w:tblHeader/>
        </w:trPr>
        <w:tc>
          <w:tcPr>
            <w:tcW w:w="673"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5638"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宋体" w:hAnsi="宋体"/>
                <w:b/>
                <w:szCs w:val="21"/>
              </w:rPr>
            </w:pPr>
          </w:p>
        </w:tc>
        <w:tc>
          <w:tcPr>
            <w:tcW w:w="771" w:type="dxa"/>
            <w:tcBorders>
              <w:top w:val="single" w:color="auto" w:sz="6" w:space="0"/>
              <w:left w:val="single" w:color="auto" w:sz="6" w:space="0"/>
              <w:bottom w:val="single" w:color="auto" w:sz="6" w:space="0"/>
              <w:right w:val="single" w:color="auto" w:sz="6" w:space="0"/>
            </w:tcBorders>
            <w:shd w:val="clear" w:color="auto" w:fill="EEECE1"/>
            <w:vAlign w:val="center"/>
          </w:tcPr>
          <w:p>
            <w:pPr>
              <w:ind w:left="-84" w:leftChars="-40" w:right="-84" w:rightChars="-40"/>
              <w:jc w:val="center"/>
              <w:rPr>
                <w:rFonts w:ascii="宋体" w:hAnsi="宋体"/>
                <w:b/>
                <w:szCs w:val="21"/>
              </w:rPr>
            </w:pPr>
            <w:r>
              <w:rPr>
                <w:rFonts w:hint="eastAsia" w:ascii="宋体" w:hAnsi="宋体"/>
                <w:b/>
                <w:szCs w:val="21"/>
              </w:rPr>
              <w:t>有</w:t>
            </w:r>
          </w:p>
        </w:tc>
        <w:tc>
          <w:tcPr>
            <w:tcW w:w="731" w:type="dxa"/>
            <w:tcBorders>
              <w:top w:val="single" w:color="auto" w:sz="6" w:space="0"/>
              <w:left w:val="single" w:color="auto" w:sz="6" w:space="0"/>
              <w:bottom w:val="single" w:color="auto" w:sz="6" w:space="0"/>
              <w:right w:val="single" w:color="auto" w:sz="6" w:space="0"/>
            </w:tcBorders>
            <w:shd w:val="clear" w:color="auto" w:fill="EEECE1"/>
            <w:vAlign w:val="center"/>
          </w:tcPr>
          <w:p>
            <w:pPr>
              <w:ind w:left="-84" w:leftChars="-40" w:right="-84" w:rightChars="-40"/>
              <w:jc w:val="center"/>
              <w:rPr>
                <w:rFonts w:ascii="宋体" w:hAnsi="宋体"/>
                <w:b/>
                <w:szCs w:val="21"/>
              </w:rPr>
            </w:pPr>
            <w:r>
              <w:rPr>
                <w:rFonts w:hint="eastAsia" w:ascii="宋体" w:hAnsi="宋体"/>
                <w:b/>
                <w:szCs w:val="21"/>
              </w:rPr>
              <w:t>无</w:t>
            </w:r>
          </w:p>
        </w:tc>
        <w:tc>
          <w:tcPr>
            <w:tcW w:w="784"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宋体" w:hAnsi="宋体"/>
                <w:b/>
                <w:szCs w:val="21"/>
              </w:rPr>
            </w:pPr>
          </w:p>
        </w:tc>
        <w:tc>
          <w:tcPr>
            <w:tcW w:w="754" w:type="dxa"/>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9351" w:type="dxa"/>
            <w:gridSpan w:val="6"/>
            <w:tcBorders>
              <w:top w:val="single" w:color="auto" w:sz="6" w:space="0"/>
              <w:left w:val="single" w:color="auto" w:sz="12" w:space="0"/>
              <w:bottom w:val="single" w:color="auto" w:sz="6" w:space="0"/>
              <w:right w:val="single" w:color="auto" w:sz="12" w:space="0"/>
            </w:tcBorders>
            <w:vAlign w:val="center"/>
          </w:tcPr>
          <w:p>
            <w:pPr>
              <w:ind w:left="180"/>
              <w:jc w:val="center"/>
              <w:rPr>
                <w:rFonts w:ascii="宋体" w:hAnsi="宋体"/>
                <w:szCs w:val="21"/>
              </w:rPr>
            </w:pPr>
            <w:r>
              <w:rPr>
                <w:rFonts w:hint="eastAsia" w:ascii="宋体" w:hAnsi="宋体"/>
                <w:szCs w:val="21"/>
              </w:rPr>
              <w:t>一、</w:t>
            </w:r>
            <w:r>
              <w:rPr>
                <w:rFonts w:hint="eastAsia" w:ascii="宋体" w:hAnsi="宋体"/>
                <w:b/>
                <w:szCs w:val="21"/>
              </w:rPr>
              <w:t>初审文件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8"/>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kern w:val="0"/>
              </w:rPr>
            </w:pPr>
            <w:r>
              <w:rPr>
                <w:rFonts w:hint="eastAsia" w:hAnsi="宋体" w:cs="Courier New"/>
                <w:kern w:val="0"/>
              </w:rPr>
              <w:t>谈判函</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8"/>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rPr>
            </w:pPr>
            <w:r>
              <w:rPr>
                <w:rFonts w:hint="eastAsia" w:hAnsi="宋体" w:cs="Courier New"/>
                <w:kern w:val="0"/>
              </w:rPr>
              <w:t>响应供应商资格声明函</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3"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8"/>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kern w:val="0"/>
              </w:rPr>
            </w:pPr>
            <w:r>
              <w:rPr>
                <w:rFonts w:hint="eastAsia" w:ascii="宋体" w:hAnsi="宋体"/>
                <w:bCs/>
              </w:rPr>
              <w:t>提供在中华人民共和国境内注册的法人或其他组织的</w:t>
            </w:r>
            <w:r>
              <w:rPr>
                <w:rFonts w:hint="eastAsia" w:ascii="宋体" w:hAnsi="宋体"/>
                <w:szCs w:val="21"/>
              </w:rPr>
              <w:t>营业执照（或事业单位法人证书，或社会团体法人登记证书）、组织机构代码证、税务登记证【如已办理了多证合一，则仅需提供合证后的营业执照】，</w:t>
            </w:r>
            <w:r>
              <w:rPr>
                <w:rFonts w:hint="eastAsia" w:ascii="宋体" w:hAnsi="宋体"/>
                <w:bCs/>
              </w:rPr>
              <w:t>如供应商为自然人的需提供自然人身份证明</w:t>
            </w:r>
            <w:r>
              <w:rPr>
                <w:rFonts w:hint="eastAsia"/>
                <w:bCs/>
                <w:szCs w:val="21"/>
              </w:rPr>
              <w:t>。</w:t>
            </w:r>
            <w:r>
              <w:rPr>
                <w:rFonts w:hint="eastAsia" w:hAnsi="宋体" w:cs="Courier New"/>
                <w:kern w:val="0"/>
              </w:rPr>
              <w:t>（如是联合体投标的，须提供各方的）</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1"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8"/>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bCs/>
                <w:szCs w:val="21"/>
              </w:rPr>
            </w:pPr>
            <w:r>
              <w:rPr>
                <w:rFonts w:hint="eastAsia" w:ascii="宋体" w:hAnsi="宋体"/>
                <w:szCs w:val="21"/>
              </w:rPr>
              <w:t>提供履行合同所必需的设备和专业技术能力的书面声明；（提供《响应供应商资格声明函》）</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1"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8"/>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bCs/>
                <w:szCs w:val="21"/>
              </w:rPr>
            </w:pPr>
            <w:r>
              <w:rPr>
                <w:rFonts w:hint="eastAsia" w:ascii="宋体" w:hAnsi="宋体"/>
                <w:szCs w:val="21"/>
              </w:rPr>
              <w:t>提供参加政府采购活动前3年内在经营活动中没有重大违法记录的书面声明；（提供《响应供应商资格声明函》）</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61"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8"/>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bCs/>
                <w:szCs w:val="21"/>
              </w:rPr>
            </w:pPr>
            <w:r>
              <w:rPr>
                <w:rFonts w:hint="eastAsia" w:ascii="宋体" w:hAnsi="宋体" w:cs="Courier New"/>
                <w:kern w:val="0"/>
                <w:szCs w:val="21"/>
              </w:rPr>
              <w:t>为采购项目提供整体设计、规范编制或者项目管理、监理、检测等服务的供应商，不得再参加该采购项目包组的其他采购活动。（提供</w:t>
            </w:r>
            <w:r>
              <w:rPr>
                <w:rFonts w:hint="eastAsia" w:hAnsi="宋体" w:cs="宋体"/>
                <w:bCs/>
                <w:kern w:val="0"/>
                <w:szCs w:val="21"/>
              </w:rPr>
              <w:t>《</w:t>
            </w:r>
            <w:r>
              <w:rPr>
                <w:rFonts w:hint="eastAsia" w:ascii="宋体" w:hAnsi="宋体"/>
                <w:szCs w:val="21"/>
              </w:rPr>
              <w:t>响应供应商资格声明函</w:t>
            </w:r>
            <w:r>
              <w:rPr>
                <w:rFonts w:hint="eastAsia" w:hAnsi="宋体" w:cs="宋体"/>
                <w:bCs/>
                <w:kern w:val="0"/>
                <w:szCs w:val="21"/>
              </w:rPr>
              <w:t>》</w:t>
            </w:r>
            <w:r>
              <w:rPr>
                <w:rFonts w:hint="eastAsia" w:ascii="宋体" w:hAnsi="宋体" w:cs="Courier New"/>
                <w:kern w:val="0"/>
                <w:szCs w:val="21"/>
              </w:rPr>
              <w:t>）</w:t>
            </w:r>
            <w:r>
              <w:rPr>
                <w:rFonts w:hint="eastAsia" w:hAnsi="宋体" w:cs="Courier New"/>
                <w:kern w:val="0"/>
              </w:rPr>
              <w:t>（如是联合体投标的，须提供各方的）</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1"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8"/>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宋体"/>
                <w:bCs/>
                <w:kern w:val="0"/>
                <w:szCs w:val="21"/>
              </w:rPr>
            </w:pPr>
            <w:r>
              <w:rPr>
                <w:rFonts w:hint="eastAsia" w:hAnsi="宋体" w:cs="Courier New"/>
              </w:rPr>
              <w:t>单位负责人为同一人或者存在直接控股、管理关系的不同供应商，不得参加同一合同项下的政府采购活动。（提供《响应供应商资格声明函》）</w:t>
            </w:r>
            <w:r>
              <w:rPr>
                <w:rFonts w:hint="eastAsia" w:hAnsi="宋体"/>
              </w:rPr>
              <w:t>（如是联合体投标的，须提供各方的）</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8"/>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rPr>
            </w:pPr>
            <w:r>
              <w:rPr>
                <w:rFonts w:hint="eastAsia" w:hAnsi="宋体" w:cs="Courier New"/>
              </w:rPr>
              <w:t>提供《谈判邀请函》</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8"/>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宋体"/>
                <w:bCs/>
                <w:kern w:val="0"/>
              </w:rPr>
            </w:pPr>
            <w:r>
              <w:rPr>
                <w:rFonts w:hint="eastAsia" w:hAnsi="宋体" w:cs="Courier New"/>
              </w:rPr>
              <w:t>法定代表人授权委托书</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8"/>
              </w:numPr>
              <w:jc w:val="center"/>
              <w:rPr>
                <w:rFonts w:ascii="宋体" w:hAnsi="宋体"/>
                <w:bCs/>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rPr>
            </w:pPr>
            <w:r>
              <w:rPr>
                <w:rFonts w:hint="eastAsia" w:hAnsi="宋体" w:cs="Courier New"/>
              </w:rPr>
              <w:t>法定代表人证明书</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1"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8"/>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rPr>
            </w:pPr>
            <w:r>
              <w:rPr>
                <w:rFonts w:hint="eastAsia" w:hAnsi="宋体" w:cs="Courier New"/>
              </w:rPr>
              <w:t>实质性条款响应一览表及其附件</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8"/>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rPr>
            </w:pPr>
            <w:r>
              <w:rPr>
                <w:rFonts w:hint="eastAsia" w:hAnsi="宋体" w:cs="Courier New"/>
              </w:rPr>
              <w:t>……</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9351" w:type="dxa"/>
            <w:gridSpan w:val="6"/>
            <w:tcBorders>
              <w:top w:val="single" w:color="auto" w:sz="6" w:space="0"/>
              <w:left w:val="single" w:color="auto" w:sz="12" w:space="0"/>
              <w:bottom w:val="single" w:color="auto" w:sz="6" w:space="0"/>
              <w:right w:val="single" w:color="auto" w:sz="12" w:space="0"/>
            </w:tcBorders>
            <w:vAlign w:val="center"/>
          </w:tcPr>
          <w:p>
            <w:pPr>
              <w:ind w:left="180"/>
              <w:jc w:val="center"/>
              <w:rPr>
                <w:rFonts w:ascii="宋体" w:hAnsi="宋体"/>
                <w:szCs w:val="21"/>
              </w:rPr>
            </w:pPr>
            <w:r>
              <w:rPr>
                <w:rFonts w:hint="eastAsia" w:ascii="宋体" w:hAnsi="宋体"/>
                <w:szCs w:val="21"/>
              </w:rPr>
              <w:t>二、</w:t>
            </w:r>
            <w:r>
              <w:rPr>
                <w:rFonts w:hint="eastAsia" w:ascii="宋体" w:hAnsi="宋体"/>
                <w:b/>
                <w:szCs w:val="21"/>
              </w:rPr>
              <w:t>技术文件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9"/>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rPr>
            </w:pPr>
            <w:r>
              <w:rPr>
                <w:rFonts w:hint="eastAsia" w:ascii="宋体" w:hAnsi="宋体"/>
                <w:szCs w:val="21"/>
              </w:rPr>
              <w:t>报价表（首次报价）</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9"/>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rPr>
            </w:pPr>
            <w:r>
              <w:rPr>
                <w:rFonts w:hint="eastAsia" w:hAnsi="宋体" w:cs="Courier New"/>
              </w:rPr>
              <w:t>中小企业声明函</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9"/>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rPr>
            </w:pPr>
            <w:r>
              <w:rPr>
                <w:rFonts w:hint="eastAsia" w:hAnsi="宋体" w:cs="Courier New"/>
              </w:rPr>
              <w:t>监狱企业的证明文件</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9"/>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rPr>
            </w:pPr>
            <w:r>
              <w:rPr>
                <w:rFonts w:hint="eastAsia" w:hAnsi="宋体" w:cs="Courier New"/>
              </w:rPr>
              <w:t>残疾人福利性单位声明函</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9"/>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szCs w:val="21"/>
              </w:rPr>
            </w:pPr>
            <w:r>
              <w:rPr>
                <w:rFonts w:hint="eastAsia" w:ascii="宋体" w:hAnsi="宋体"/>
                <w:szCs w:val="21"/>
              </w:rPr>
              <w:t>投标分项报价表</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1"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9"/>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szCs w:val="21"/>
              </w:rPr>
            </w:pPr>
            <w:r>
              <w:rPr>
                <w:rFonts w:hint="eastAsia" w:ascii="宋体" w:hAnsi="宋体"/>
                <w:szCs w:val="21"/>
              </w:rPr>
              <w:t>用户需求响应一览表及其附件</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9"/>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kern w:val="0"/>
              </w:rPr>
            </w:pPr>
            <w:r>
              <w:rPr>
                <w:rFonts w:hint="eastAsia" w:hAnsi="宋体" w:cs="Courier New"/>
                <w:kern w:val="0"/>
              </w:rPr>
              <w:t>投标货物的详细情况及技术服务方案</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29"/>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szCs w:val="21"/>
              </w:rPr>
            </w:pPr>
            <w:r>
              <w:rPr>
                <w:rFonts w:hint="eastAsia" w:ascii="宋体" w:hAnsi="宋体"/>
                <w:szCs w:val="21"/>
              </w:rPr>
              <w:t>响应供应商认为需要提供的其它说明和资料</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trPr>
        <w:tc>
          <w:tcPr>
            <w:tcW w:w="9351" w:type="dxa"/>
            <w:gridSpan w:val="6"/>
            <w:tcBorders>
              <w:top w:val="single" w:color="auto" w:sz="6" w:space="0"/>
              <w:left w:val="single" w:color="auto" w:sz="12" w:space="0"/>
              <w:bottom w:val="single" w:color="auto" w:sz="6" w:space="0"/>
              <w:right w:val="single" w:color="auto" w:sz="12" w:space="0"/>
            </w:tcBorders>
            <w:vAlign w:val="center"/>
          </w:tcPr>
          <w:p>
            <w:pPr>
              <w:ind w:left="180"/>
              <w:jc w:val="center"/>
              <w:rPr>
                <w:rFonts w:ascii="宋体" w:hAnsi="宋体"/>
                <w:szCs w:val="21"/>
              </w:rPr>
            </w:pPr>
            <w:r>
              <w:rPr>
                <w:rFonts w:hint="eastAsia" w:ascii="宋体" w:hAnsi="宋体"/>
                <w:szCs w:val="21"/>
              </w:rPr>
              <w:t>三、</w:t>
            </w:r>
            <w:r>
              <w:rPr>
                <w:rFonts w:hint="eastAsia" w:ascii="宋体" w:hAnsi="宋体"/>
                <w:b/>
                <w:szCs w:val="21"/>
              </w:rPr>
              <w:t>商务文件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30"/>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szCs w:val="21"/>
              </w:rPr>
            </w:pPr>
            <w:r>
              <w:rPr>
                <w:rFonts w:hint="eastAsia" w:ascii="宋体" w:hAnsi="宋体"/>
                <w:szCs w:val="21"/>
              </w:rPr>
              <w:t>响应供应商基本情况表</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30"/>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kern w:val="0"/>
              </w:rPr>
            </w:pPr>
            <w:r>
              <w:rPr>
                <w:rFonts w:hint="eastAsia" w:hAnsi="宋体" w:cs="Courier New"/>
                <w:kern w:val="0"/>
              </w:rPr>
              <w:t>项目经理及管理技术人员一览表</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30"/>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rPr>
            </w:pPr>
            <w:r>
              <w:rPr>
                <w:rFonts w:hint="eastAsia" w:hAnsi="宋体" w:cs="Courier New"/>
              </w:rPr>
              <w:t>合同条款响应一览表</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673" w:type="dxa"/>
            <w:tcBorders>
              <w:top w:val="single" w:color="auto" w:sz="6" w:space="0"/>
              <w:left w:val="single" w:color="auto" w:sz="12" w:space="0"/>
              <w:bottom w:val="single" w:color="auto" w:sz="6" w:space="0"/>
              <w:right w:val="single" w:color="auto" w:sz="6" w:space="0"/>
            </w:tcBorders>
            <w:vAlign w:val="center"/>
          </w:tcPr>
          <w:p>
            <w:pPr>
              <w:numPr>
                <w:ilvl w:val="0"/>
                <w:numId w:val="30"/>
              </w:numPr>
              <w:jc w:val="center"/>
              <w:rPr>
                <w:rFonts w:ascii="宋体" w:hAnsi="宋体"/>
                <w:szCs w:val="21"/>
              </w:rPr>
            </w:pPr>
          </w:p>
        </w:tc>
        <w:tc>
          <w:tcPr>
            <w:tcW w:w="5638" w:type="dxa"/>
            <w:tcBorders>
              <w:top w:val="single" w:color="auto" w:sz="6" w:space="0"/>
              <w:left w:val="single" w:color="auto" w:sz="6" w:space="0"/>
              <w:bottom w:val="single" w:color="auto" w:sz="6" w:space="0"/>
              <w:right w:val="single" w:color="auto" w:sz="6" w:space="0"/>
            </w:tcBorders>
            <w:vAlign w:val="center"/>
          </w:tcPr>
          <w:p>
            <w:pPr>
              <w:snapToGrid w:val="0"/>
              <w:rPr>
                <w:rFonts w:hAnsi="宋体" w:cs="Courier New"/>
              </w:rPr>
            </w:pPr>
            <w:r>
              <w:rPr>
                <w:rFonts w:hint="eastAsia" w:hAnsi="宋体" w:cs="Courier New"/>
                <w:kern w:val="0"/>
              </w:rPr>
              <w:t>招标代理服务费承诺书</w:t>
            </w:r>
          </w:p>
        </w:tc>
        <w:tc>
          <w:tcPr>
            <w:tcW w:w="77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673" w:type="dxa"/>
            <w:tcBorders>
              <w:top w:val="single" w:color="auto" w:sz="6" w:space="0"/>
              <w:left w:val="single" w:color="auto" w:sz="12" w:space="0"/>
              <w:bottom w:val="single" w:color="auto" w:sz="12" w:space="0"/>
              <w:right w:val="single" w:color="auto" w:sz="6" w:space="0"/>
            </w:tcBorders>
            <w:vAlign w:val="center"/>
          </w:tcPr>
          <w:p>
            <w:pPr>
              <w:numPr>
                <w:ilvl w:val="0"/>
                <w:numId w:val="30"/>
              </w:numPr>
              <w:jc w:val="center"/>
              <w:rPr>
                <w:rFonts w:ascii="宋体" w:hAnsi="宋体"/>
                <w:szCs w:val="21"/>
              </w:rPr>
            </w:pPr>
          </w:p>
        </w:tc>
        <w:tc>
          <w:tcPr>
            <w:tcW w:w="5638" w:type="dxa"/>
            <w:tcBorders>
              <w:top w:val="single" w:color="auto" w:sz="6" w:space="0"/>
              <w:left w:val="single" w:color="auto" w:sz="6" w:space="0"/>
              <w:bottom w:val="single" w:color="auto" w:sz="12" w:space="0"/>
              <w:right w:val="single" w:color="auto" w:sz="6" w:space="0"/>
            </w:tcBorders>
            <w:vAlign w:val="center"/>
          </w:tcPr>
          <w:p>
            <w:pPr>
              <w:snapToGrid w:val="0"/>
              <w:rPr>
                <w:rFonts w:ascii="宋体" w:hAnsi="宋体"/>
                <w:kern w:val="0"/>
                <w:szCs w:val="21"/>
              </w:rPr>
            </w:pPr>
            <w:r>
              <w:rPr>
                <w:rFonts w:hint="eastAsia" w:ascii="宋体" w:hAnsi="宋体"/>
                <w:kern w:val="0"/>
                <w:szCs w:val="21"/>
              </w:rPr>
              <w:t>响应供应商认为需要提供的其他商务资料</w:t>
            </w:r>
          </w:p>
        </w:tc>
        <w:tc>
          <w:tcPr>
            <w:tcW w:w="771"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Cs w:val="21"/>
              </w:rPr>
            </w:pPr>
          </w:p>
        </w:tc>
        <w:tc>
          <w:tcPr>
            <w:tcW w:w="731"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Cs w:val="21"/>
              </w:rPr>
            </w:pPr>
          </w:p>
        </w:tc>
        <w:tc>
          <w:tcPr>
            <w:tcW w:w="784" w:type="dxa"/>
            <w:tcBorders>
              <w:top w:val="single" w:color="auto" w:sz="6" w:space="0"/>
              <w:left w:val="single" w:color="auto" w:sz="6" w:space="0"/>
              <w:bottom w:val="single" w:color="auto" w:sz="12" w:space="0"/>
              <w:right w:val="single" w:color="auto" w:sz="6" w:space="0"/>
            </w:tcBorders>
            <w:shd w:val="clear" w:color="auto" w:fill="EEECE1"/>
            <w:vAlign w:val="center"/>
          </w:tcPr>
          <w:p>
            <w:pPr>
              <w:jc w:val="center"/>
              <w:rPr>
                <w:rFonts w:ascii="宋体" w:hAnsi="宋体"/>
                <w:szCs w:val="21"/>
              </w:rPr>
            </w:pPr>
          </w:p>
        </w:tc>
        <w:tc>
          <w:tcPr>
            <w:tcW w:w="754" w:type="dxa"/>
            <w:tcBorders>
              <w:top w:val="single" w:color="auto" w:sz="6" w:space="0"/>
              <w:left w:val="single" w:color="auto" w:sz="6" w:space="0"/>
              <w:bottom w:val="single" w:color="auto" w:sz="12" w:space="0"/>
              <w:right w:val="single" w:color="auto" w:sz="12" w:space="0"/>
            </w:tcBorders>
            <w:shd w:val="clear" w:color="auto" w:fill="EEECE1"/>
            <w:vAlign w:val="center"/>
          </w:tcPr>
          <w:p>
            <w:pPr>
              <w:jc w:val="center"/>
              <w:rPr>
                <w:rFonts w:ascii="宋体" w:hAnsi="宋体"/>
                <w:szCs w:val="21"/>
              </w:rPr>
            </w:pPr>
          </w:p>
        </w:tc>
      </w:tr>
    </w:tbl>
    <w:p>
      <w:pPr>
        <w:pStyle w:val="3"/>
        <w:adjustRightInd w:val="0"/>
        <w:snapToGrid w:val="0"/>
        <w:spacing w:beforeLines="50" w:afterLines="50" w:line="360" w:lineRule="auto"/>
        <w:jc w:val="center"/>
        <w:rPr>
          <w:b w:val="0"/>
        </w:rPr>
      </w:pPr>
      <w:r>
        <w:rPr>
          <w:rFonts w:ascii="黑体"/>
          <w:bCs w:val="0"/>
          <w:sz w:val="28"/>
        </w:rPr>
        <w:br w:type="page"/>
      </w:r>
      <w:bookmarkStart w:id="14" w:name="_Toc275865605"/>
      <w:r>
        <w:rPr>
          <w:rFonts w:hint="eastAsia"/>
          <w:b w:val="0"/>
        </w:rPr>
        <w:t>谈判</w:t>
      </w:r>
      <w:bookmarkEnd w:id="14"/>
      <w:r>
        <w:rPr>
          <w:rFonts w:hint="eastAsia"/>
          <w:b w:val="0"/>
        </w:rPr>
        <w:t>函</w:t>
      </w:r>
    </w:p>
    <w:p>
      <w:pPr>
        <w:spacing w:line="360" w:lineRule="auto"/>
        <w:ind w:left="105" w:leftChars="50" w:firstLine="2"/>
        <w:rPr>
          <w:rFonts w:ascii="宋体" w:hAnsi="宋体"/>
          <w:b/>
        </w:rPr>
      </w:pPr>
      <w:r>
        <w:rPr>
          <w:rFonts w:hint="eastAsia" w:ascii="宋体" w:hAnsi="宋体"/>
          <w:b/>
        </w:rPr>
        <w:t>致：广东采联采购科技有限公司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u w:val="single"/>
        </w:rPr>
        <w:t xml:space="preserve">        国家税务总局深圳市罗湖区税务局税收征管表格印制项目         </w:t>
      </w:r>
      <w:r>
        <w:rPr>
          <w:rFonts w:hint="eastAsia" w:ascii="宋体" w:hAnsi="宋体"/>
          <w:kern w:val="28"/>
        </w:rPr>
        <w:t>采购</w:t>
      </w:r>
      <w:r>
        <w:rPr>
          <w:rFonts w:hint="eastAsia" w:ascii="宋体" w:hAnsi="宋体"/>
        </w:rPr>
        <w:t>货物及相关服务的谈判文件（项目编号：CLF0119SZ14QY80），</w:t>
      </w:r>
      <w:r>
        <w:rPr>
          <w:rFonts w:hint="eastAsia" w:ascii="宋体" w:hAnsi="宋体"/>
          <w:u w:val="single"/>
        </w:rPr>
        <w:t xml:space="preserve">    (响应供应商名称、地址)   </w:t>
      </w:r>
      <w:r>
        <w:rPr>
          <w:rFonts w:hint="eastAsia" w:ascii="宋体" w:hAnsi="宋体"/>
        </w:rPr>
        <w:t>作为响应供应商已正式授权《法定代表人授权委托书》中的授权代表为我方签名代表，代表我方提交响应文件进行谈判。</w:t>
      </w:r>
    </w:p>
    <w:p>
      <w:pPr>
        <w:spacing w:line="360" w:lineRule="auto"/>
        <w:ind w:firstLine="480"/>
        <w:rPr>
          <w:rFonts w:ascii="宋体" w:hAnsi="宋体"/>
        </w:rPr>
      </w:pPr>
      <w:r>
        <w:rPr>
          <w:rFonts w:hint="eastAsia" w:ascii="宋体" w:hAnsi="宋体"/>
        </w:rPr>
        <w:t>签名代表在此声明并同意：</w:t>
      </w:r>
    </w:p>
    <w:p>
      <w:pPr>
        <w:numPr>
          <w:ilvl w:val="0"/>
          <w:numId w:val="31"/>
        </w:numPr>
        <w:adjustRightInd w:val="0"/>
        <w:snapToGrid w:val="0"/>
        <w:spacing w:line="400" w:lineRule="exact"/>
        <w:rPr>
          <w:rFonts w:ascii="宋体" w:hAnsi="宋体"/>
          <w:b/>
        </w:rPr>
      </w:pPr>
      <w:r>
        <w:rPr>
          <w:rFonts w:hint="eastAsia" w:ascii="宋体" w:hAnsi="宋体"/>
          <w:b/>
        </w:rPr>
        <w:t>我们愿意遵守采购代理机构谈判文件的各项规定，自愿参加谈判</w:t>
      </w:r>
      <w:r>
        <w:rPr>
          <w:rFonts w:ascii="宋体" w:hAnsi="宋体"/>
          <w:b/>
        </w:rPr>
        <w:t>,</w:t>
      </w:r>
      <w:r>
        <w:rPr>
          <w:rFonts w:hint="eastAsia" w:ascii="宋体" w:hAnsi="宋体"/>
          <w:b/>
        </w:rPr>
        <w:t xml:space="preserve"> 并已清楚谈判文件的要求   及有关文件规定，并严格按照谈判文件的规定履行全部责任和义务。</w:t>
      </w:r>
    </w:p>
    <w:p>
      <w:pPr>
        <w:numPr>
          <w:ilvl w:val="0"/>
          <w:numId w:val="31"/>
        </w:numPr>
        <w:adjustRightInd w:val="0"/>
        <w:snapToGrid w:val="0"/>
        <w:spacing w:line="400" w:lineRule="exact"/>
        <w:rPr>
          <w:rFonts w:ascii="宋体" w:hAnsi="宋体"/>
          <w:b/>
        </w:rPr>
      </w:pPr>
      <w:r>
        <w:rPr>
          <w:rFonts w:hint="eastAsia" w:ascii="宋体" w:hAnsi="宋体"/>
          <w:b/>
        </w:rPr>
        <w:t>我们同意本谈判自谈判截止之日起</w:t>
      </w:r>
      <w:r>
        <w:rPr>
          <w:rFonts w:hint="eastAsia" w:ascii="宋体" w:hAnsi="宋体"/>
          <w:b/>
          <w:u w:val="single"/>
        </w:rPr>
        <w:t>90</w:t>
      </w:r>
      <w:r>
        <w:rPr>
          <w:rFonts w:hint="eastAsia" w:ascii="宋体" w:hAnsi="宋体"/>
          <w:b/>
        </w:rPr>
        <w:t>天内有效。</w:t>
      </w:r>
    </w:p>
    <w:p>
      <w:pPr>
        <w:numPr>
          <w:ilvl w:val="0"/>
          <w:numId w:val="31"/>
        </w:numPr>
        <w:adjustRightInd w:val="0"/>
        <w:snapToGrid w:val="0"/>
        <w:spacing w:line="400" w:lineRule="exact"/>
        <w:rPr>
          <w:rFonts w:ascii="宋体" w:hAnsi="宋体"/>
          <w:b/>
        </w:rPr>
      </w:pPr>
      <w:r>
        <w:rPr>
          <w:rFonts w:hint="eastAsia" w:ascii="宋体" w:hAnsi="宋体"/>
          <w:b/>
        </w:rPr>
        <w:t>我们承诺从本项目递交响应文件截止时间起，本投标始终有效且不予撤销已递交的响应文件。</w:t>
      </w:r>
    </w:p>
    <w:p>
      <w:pPr>
        <w:numPr>
          <w:ilvl w:val="0"/>
          <w:numId w:val="31"/>
        </w:numPr>
        <w:adjustRightInd w:val="0"/>
        <w:snapToGrid w:val="0"/>
        <w:spacing w:line="400" w:lineRule="exact"/>
        <w:rPr>
          <w:rFonts w:ascii="宋体" w:hAnsi="宋体"/>
          <w:b/>
        </w:rPr>
      </w:pPr>
      <w:r>
        <w:rPr>
          <w:rFonts w:hint="eastAsia" w:ascii="宋体" w:hAnsi="宋体"/>
          <w:b/>
        </w:rPr>
        <w:t>我们已经详细地阅读并完全明白了全部谈判文件及附件，包括澄清（如有）及参考文件，我们完全理解本谈判文件的要求，</w:t>
      </w:r>
      <w:r>
        <w:rPr>
          <w:rFonts w:hint="eastAsia" w:ascii="宋体"/>
          <w:b/>
        </w:rPr>
        <w:t>我们同意放弃对谈判文件提出不明或误解的一切权力</w:t>
      </w:r>
      <w:r>
        <w:rPr>
          <w:rFonts w:hint="eastAsia" w:ascii="宋体" w:hAnsi="宋体"/>
          <w:b/>
        </w:rPr>
        <w:t>。</w:t>
      </w:r>
    </w:p>
    <w:p>
      <w:pPr>
        <w:numPr>
          <w:ilvl w:val="0"/>
          <w:numId w:val="31"/>
        </w:numPr>
        <w:adjustRightInd w:val="0"/>
        <w:snapToGrid w:val="0"/>
        <w:spacing w:line="400" w:lineRule="exact"/>
        <w:rPr>
          <w:rFonts w:ascii="宋体" w:hAnsi="宋体"/>
          <w:b/>
        </w:rPr>
      </w:pPr>
      <w:r>
        <w:rPr>
          <w:rFonts w:hint="eastAsia" w:ascii="宋体" w:hAnsi="宋体"/>
          <w:b/>
        </w:rPr>
        <w:t>我们同意提供采购人与谈判小组要求的有关谈判的一切数据或资料。</w:t>
      </w:r>
    </w:p>
    <w:p>
      <w:pPr>
        <w:numPr>
          <w:ilvl w:val="0"/>
          <w:numId w:val="31"/>
        </w:numPr>
        <w:adjustRightInd w:val="0"/>
        <w:snapToGrid w:val="0"/>
        <w:spacing w:line="400" w:lineRule="exact"/>
        <w:rPr>
          <w:rFonts w:ascii="宋体" w:hAnsi="宋体"/>
          <w:b/>
        </w:rPr>
      </w:pPr>
      <w:r>
        <w:rPr>
          <w:rFonts w:hint="eastAsia" w:ascii="宋体" w:hAnsi="宋体"/>
          <w:b/>
        </w:rPr>
        <w:t>我们理解采购人与谈判小组并无义务必须接受最低报价的谈判或其它任何谈判，完全理解采购代理机构拒绝迟到的任何谈判和最低谈判报价不是被授予成交的唯一条件。</w:t>
      </w:r>
    </w:p>
    <w:p>
      <w:pPr>
        <w:numPr>
          <w:ilvl w:val="0"/>
          <w:numId w:val="31"/>
        </w:numPr>
        <w:adjustRightInd w:val="0"/>
        <w:snapToGrid w:val="0"/>
        <w:spacing w:line="400" w:lineRule="exact"/>
        <w:rPr>
          <w:rFonts w:ascii="宋体" w:hAnsi="宋体"/>
          <w:b/>
        </w:rPr>
      </w:pPr>
      <w:r>
        <w:rPr>
          <w:rFonts w:hint="eastAsia" w:ascii="宋体" w:hAnsi="宋体"/>
          <w:b/>
        </w:rPr>
        <w:t xml:space="preserve">如果我们未对谈判文件全部要求作出实质性响应，则完全同意并接受按无效谈判处理。 </w:t>
      </w:r>
    </w:p>
    <w:p>
      <w:pPr>
        <w:numPr>
          <w:ilvl w:val="0"/>
          <w:numId w:val="31"/>
        </w:numPr>
        <w:adjustRightInd w:val="0"/>
        <w:snapToGrid w:val="0"/>
        <w:spacing w:line="400" w:lineRule="exact"/>
        <w:rPr>
          <w:rFonts w:ascii="宋体" w:hAnsi="宋体"/>
          <w:b/>
        </w:rPr>
      </w:pPr>
      <w:r>
        <w:rPr>
          <w:rFonts w:hint="eastAsia" w:ascii="宋体" w:hAnsi="宋体"/>
          <w:b/>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31"/>
        </w:numPr>
        <w:snapToGrid w:val="0"/>
        <w:spacing w:line="360" w:lineRule="auto"/>
        <w:rPr>
          <w:rFonts w:ascii="宋体" w:hAnsi="宋体"/>
          <w:b/>
        </w:rPr>
      </w:pPr>
      <w:r>
        <w:rPr>
          <w:rFonts w:hint="eastAsia" w:ascii="宋体" w:hAnsi="宋体"/>
          <w:b/>
        </w:rPr>
        <w:t>如果我们提供的声明或承诺不真实，则完全同意认定为我司提供虚假材料，并同意作相应处理。</w:t>
      </w:r>
    </w:p>
    <w:p>
      <w:pPr>
        <w:numPr>
          <w:ilvl w:val="0"/>
          <w:numId w:val="31"/>
        </w:numPr>
        <w:snapToGrid w:val="0"/>
        <w:spacing w:line="360" w:lineRule="auto"/>
        <w:rPr>
          <w:rFonts w:ascii="宋体" w:hAnsi="宋体"/>
          <w:b/>
        </w:rPr>
      </w:pPr>
      <w:r>
        <w:rPr>
          <w:rFonts w:hint="eastAsia" w:ascii="宋体" w:hAnsi="宋体"/>
          <w:b/>
        </w:rPr>
        <w:t>我们是依法注册的法人，在法律、财务及运作上完全独立于本项目采购人、用户单位（如有）和采购代理机构。</w:t>
      </w:r>
    </w:p>
    <w:p>
      <w:pPr>
        <w:numPr>
          <w:ilvl w:val="0"/>
          <w:numId w:val="31"/>
        </w:numPr>
        <w:adjustRightInd w:val="0"/>
        <w:snapToGrid w:val="0"/>
        <w:spacing w:line="400" w:lineRule="exact"/>
        <w:rPr>
          <w:rFonts w:ascii="宋体" w:hAnsi="宋体"/>
          <w:b/>
        </w:rPr>
      </w:pPr>
      <w:r>
        <w:rPr>
          <w:rFonts w:hint="eastAsia" w:ascii="宋体" w:hAnsi="宋体"/>
          <w:b/>
        </w:rPr>
        <w:t>所有有关本次谈判的函电请寄：</w:t>
      </w:r>
      <w:r>
        <w:rPr>
          <w:rFonts w:hint="eastAsia" w:ascii="宋体" w:hAnsi="宋体"/>
          <w:b/>
          <w:u w:val="single"/>
        </w:rPr>
        <w:t xml:space="preserve">  （响应供应商地址）   </w:t>
      </w:r>
    </w:p>
    <w:p>
      <w:pPr>
        <w:adjustRightInd w:val="0"/>
        <w:snapToGrid w:val="0"/>
        <w:spacing w:line="400" w:lineRule="exact"/>
        <w:ind w:left="480"/>
        <w:rPr>
          <w:rFonts w:ascii="宋体"/>
        </w:rPr>
      </w:pPr>
    </w:p>
    <w:p>
      <w:pPr>
        <w:adjustRightInd w:val="0"/>
        <w:snapToGrid w:val="0"/>
        <w:spacing w:line="400" w:lineRule="exact"/>
        <w:ind w:left="480"/>
        <w:rPr>
          <w:rFonts w:ascii="宋体" w:hAnsi="宋体"/>
        </w:rPr>
      </w:pPr>
      <w:r>
        <w:rPr>
          <w:rFonts w:hint="eastAsia" w:ascii="宋体"/>
        </w:rPr>
        <w:t>法定代表人或</w:t>
      </w:r>
      <w:r>
        <w:rPr>
          <w:rFonts w:hint="eastAsia" w:ascii="宋体" w:hAnsi="宋体"/>
        </w:rPr>
        <w:t>响应供应商授权代表（签名或盖章）：</w:t>
      </w:r>
    </w:p>
    <w:p>
      <w:pPr>
        <w:adjustRightInd w:val="0"/>
        <w:snapToGrid w:val="0"/>
        <w:spacing w:line="400" w:lineRule="exact"/>
        <w:ind w:left="480"/>
        <w:rPr>
          <w:rFonts w:ascii="宋体" w:hAnsi="宋体"/>
        </w:rPr>
      </w:pPr>
      <w:r>
        <w:rPr>
          <w:rFonts w:hint="eastAsia" w:ascii="宋体" w:hAnsi="宋体"/>
        </w:rPr>
        <w:t xml:space="preserve">职务：                    </w:t>
      </w:r>
    </w:p>
    <w:p>
      <w:pPr>
        <w:adjustRightInd w:val="0"/>
        <w:snapToGrid w:val="0"/>
        <w:spacing w:line="400" w:lineRule="exact"/>
        <w:ind w:left="480"/>
        <w:rPr>
          <w:rFonts w:ascii="宋体" w:hAnsi="宋体"/>
        </w:rPr>
      </w:pPr>
      <w:r>
        <w:rPr>
          <w:rFonts w:hint="eastAsia" w:ascii="宋体" w:hAnsi="宋体"/>
        </w:rPr>
        <w:t>响应供应商名称</w:t>
      </w:r>
      <w:r>
        <w:rPr>
          <w:rFonts w:ascii="宋体" w:hAnsi="宋体"/>
        </w:rPr>
        <w:t>:</w:t>
      </w:r>
    </w:p>
    <w:p>
      <w:pPr>
        <w:adjustRightInd w:val="0"/>
        <w:snapToGrid w:val="0"/>
        <w:spacing w:line="400" w:lineRule="exact"/>
        <w:ind w:left="480"/>
        <w:rPr>
          <w:rFonts w:ascii="宋体" w:hAnsi="宋体"/>
        </w:rPr>
      </w:pPr>
      <w:r>
        <w:rPr>
          <w:rFonts w:hint="eastAsia" w:ascii="宋体" w:hAnsi="宋体"/>
        </w:rPr>
        <w:t xml:space="preserve">响应供应商公章：           </w:t>
      </w:r>
    </w:p>
    <w:p>
      <w:pPr>
        <w:adjustRightInd w:val="0"/>
        <w:snapToGrid w:val="0"/>
        <w:spacing w:line="400" w:lineRule="exact"/>
        <w:ind w:firstLine="474" w:firstLineChars="226"/>
        <w:rPr>
          <w:rFonts w:ascii="宋体" w:hAnsi="宋体"/>
        </w:rPr>
      </w:pPr>
      <w:r>
        <w:rPr>
          <w:rFonts w:hint="eastAsia" w:ascii="宋体" w:hAnsi="宋体"/>
        </w:rPr>
        <w:t xml:space="preserve">电话：  传真：邮编：   </w:t>
      </w:r>
    </w:p>
    <w:p>
      <w:pPr>
        <w:autoSpaceDE w:val="0"/>
        <w:autoSpaceDN w:val="0"/>
        <w:adjustRightInd w:val="0"/>
        <w:spacing w:line="360" w:lineRule="auto"/>
        <w:ind w:left="420" w:firstLine="6"/>
        <w:rPr>
          <w:rFonts w:ascii="宋体" w:hAnsi="宋体"/>
          <w:b/>
        </w:rPr>
      </w:pPr>
      <w:r>
        <w:rPr>
          <w:rFonts w:hint="eastAsia" w:ascii="宋体" w:hAnsi="宋体"/>
          <w:b/>
        </w:rPr>
        <w:t>备注：1、谈判函中承诺的谈判有效期应当不少于谈判文件中载明的谈判有效期，否则视为无效响应。</w:t>
      </w:r>
    </w:p>
    <w:p>
      <w:pPr>
        <w:autoSpaceDE w:val="0"/>
        <w:autoSpaceDN w:val="0"/>
        <w:adjustRightInd w:val="0"/>
        <w:snapToGrid w:val="0"/>
        <w:spacing w:line="400" w:lineRule="exact"/>
        <w:ind w:firstLine="1132" w:firstLineChars="537"/>
        <w:rPr>
          <w:rFonts w:ascii="宋体" w:hAnsi="宋体"/>
          <w:b/>
        </w:rPr>
      </w:pPr>
      <w:r>
        <w:rPr>
          <w:rFonts w:hint="eastAsia" w:ascii="宋体" w:hAnsi="宋体"/>
          <w:b/>
        </w:rPr>
        <w:t>2、除谈判有效期承诺的时间外，本谈判函内容不得擅自删改，否则视为无效响应。</w:t>
      </w:r>
    </w:p>
    <w:p>
      <w:pPr>
        <w:pStyle w:val="3"/>
        <w:adjustRightInd w:val="0"/>
        <w:snapToGrid w:val="0"/>
        <w:spacing w:beforeLines="50" w:afterLines="50" w:line="440" w:lineRule="exact"/>
        <w:jc w:val="center"/>
        <w:rPr>
          <w:b w:val="0"/>
        </w:rPr>
      </w:pPr>
      <w:bookmarkStart w:id="15" w:name="_Toc275865606"/>
      <w:r>
        <w:rPr>
          <w:rFonts w:hint="eastAsia"/>
          <w:b w:val="0"/>
        </w:rPr>
        <w:t>响应供应商资格声明函</w:t>
      </w:r>
      <w:bookmarkEnd w:id="15"/>
    </w:p>
    <w:p>
      <w:pPr>
        <w:adjustRightInd w:val="0"/>
        <w:snapToGrid w:val="0"/>
        <w:spacing w:line="440" w:lineRule="exact"/>
        <w:rPr>
          <w:b/>
        </w:rPr>
      </w:pPr>
    </w:p>
    <w:p>
      <w:pPr>
        <w:spacing w:line="360" w:lineRule="auto"/>
        <w:rPr>
          <w:b/>
        </w:rPr>
      </w:pPr>
      <w:r>
        <w:rPr>
          <w:rFonts w:hint="eastAsia"/>
          <w:b/>
        </w:rPr>
        <w:t>广东采联采购科技有限公司：</w:t>
      </w:r>
    </w:p>
    <w:p>
      <w:pPr>
        <w:spacing w:line="360" w:lineRule="auto"/>
        <w:ind w:firstLine="525" w:firstLineChars="250"/>
        <w:rPr>
          <w:rFonts w:ascii="宋体" w:hAns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hint="eastAsia" w:ascii="宋体" w:hAnsi="宋体"/>
          <w:u w:val="single"/>
        </w:rPr>
        <w:t xml:space="preserve">     (项目名称） </w:t>
      </w:r>
      <w:r>
        <w:rPr>
          <w:rFonts w:hint="eastAsia" w:ascii="宋体" w:hAnsi="宋体"/>
        </w:rPr>
        <w:t>（项目编号：CLF0119SZ14QY80）的谈判公告，本公司（企业）愿意参加谈判，并声明：</w:t>
      </w:r>
    </w:p>
    <w:p>
      <w:pPr>
        <w:numPr>
          <w:ilvl w:val="1"/>
          <w:numId w:val="26"/>
        </w:numPr>
        <w:tabs>
          <w:tab w:val="left" w:pos="993"/>
        </w:tabs>
        <w:spacing w:line="360" w:lineRule="auto"/>
        <w:rPr>
          <w:rFonts w:ascii="宋体" w:hAnsi="宋体"/>
          <w:bCs/>
          <w:szCs w:val="20"/>
        </w:rPr>
      </w:pPr>
      <w:r>
        <w:rPr>
          <w:rFonts w:hint="eastAsia" w:ascii="宋体" w:hAnsi="宋体"/>
        </w:rPr>
        <w:t>本公司（企业）</w:t>
      </w:r>
      <w:r>
        <w:rPr>
          <w:rFonts w:hint="eastAsia" w:ascii="宋体" w:hAnsi="宋体"/>
          <w:bCs/>
          <w:szCs w:val="20"/>
        </w:rPr>
        <w:t xml:space="preserve">具备《中华人民共和国政府采购法》第二十二条规定的条件： </w:t>
      </w:r>
    </w:p>
    <w:p>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360"/>
        <w:rPr>
          <w:rFonts w:ascii="宋体" w:hAnsi="宋体" w:cs="宋体"/>
          <w:kern w:val="0"/>
          <w:szCs w:val="21"/>
        </w:rPr>
      </w:pPr>
      <w:r>
        <w:rPr>
          <w:rFonts w:hint="eastAsia" w:ascii="宋体" w:hAnsi="宋体" w:cs="宋体"/>
          <w:kern w:val="0"/>
          <w:szCs w:val="21"/>
        </w:rPr>
        <w:t>（二）具有良好的商业信誉和健全的财务会计制度；</w:t>
      </w:r>
    </w:p>
    <w:p>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numPr>
          <w:ilvl w:val="0"/>
          <w:numId w:val="32"/>
        </w:numPr>
        <w:tabs>
          <w:tab w:val="left" w:pos="851"/>
          <w:tab w:val="left" w:pos="1560"/>
        </w:tabs>
        <w:snapToGrid w:val="0"/>
        <w:spacing w:line="360" w:lineRule="auto"/>
        <w:rPr>
          <w:bCs/>
          <w:szCs w:val="21"/>
        </w:rPr>
      </w:pPr>
      <w:r>
        <w:rPr>
          <w:rFonts w:hint="eastAsia"/>
          <w:bCs/>
          <w:szCs w:val="21"/>
        </w:rPr>
        <w:t>根据《中华人民共和国政府采购法实施条例》的规定，本公司（企业）如为采购项目提供整体设计、规范编制或者项目管理、监理、检测等服务的供应商，不再参加该采购项目的其他采购活动</w:t>
      </w:r>
    </w:p>
    <w:p>
      <w:pPr>
        <w:numPr>
          <w:ilvl w:val="0"/>
          <w:numId w:val="32"/>
        </w:numPr>
        <w:tabs>
          <w:tab w:val="left" w:pos="851"/>
          <w:tab w:val="left" w:pos="1560"/>
        </w:tabs>
        <w:snapToGrid w:val="0"/>
        <w:spacing w:line="360" w:lineRule="auto"/>
        <w:rPr>
          <w:bCs/>
          <w:szCs w:val="21"/>
        </w:rPr>
      </w:pPr>
      <w:r>
        <w:rPr>
          <w:rFonts w:hint="eastAsia" w:ascii="宋体" w:hAnsi="宋体"/>
          <w:szCs w:val="21"/>
        </w:rPr>
        <w:t>我方承诺单位负责人为同一人或者存在直接控股、管理关系的不同供应商，不得同时参加本采购项目（包组）投标。</w:t>
      </w:r>
    </w:p>
    <w:p>
      <w:pPr>
        <w:tabs>
          <w:tab w:val="left" w:pos="851"/>
          <w:tab w:val="left" w:pos="1560"/>
        </w:tabs>
        <w:snapToGrid w:val="0"/>
        <w:spacing w:line="360" w:lineRule="auto"/>
        <w:ind w:left="426"/>
        <w:rPr>
          <w:bCs/>
          <w:szCs w:val="21"/>
        </w:rPr>
      </w:pPr>
      <w:r>
        <w:rPr>
          <w:rFonts w:hint="eastAsia" w:ascii="宋体" w:hAnsi="宋体"/>
          <w:szCs w:val="21"/>
        </w:rPr>
        <w:t>以上内容如有虚假或与事实不符的，可将我方做无效响应处理，我方愿意承担相应的法律责任</w:t>
      </w:r>
    </w:p>
    <w:p>
      <w:pPr>
        <w:snapToGrid w:val="0"/>
        <w:spacing w:line="360" w:lineRule="auto"/>
        <w:ind w:firstLine="424" w:firstLineChars="202"/>
        <w:rPr>
          <w:rFonts w:ascii="宋体" w:hAnsi="宋体"/>
        </w:rPr>
      </w:pPr>
      <w:r>
        <w:rPr>
          <w:rFonts w:hint="eastAsia" w:ascii="宋体" w:hAnsi="宋体"/>
        </w:rPr>
        <w:t>本公司（企业）承诺在本次招标采购活动中，如有违法、违规、弄虚作假行为，所造成的损失、不良后果及法律责任，一律由我公司（企业）承担。</w:t>
      </w:r>
    </w:p>
    <w:p>
      <w:pPr>
        <w:spacing w:line="360" w:lineRule="auto"/>
        <w:ind w:firstLine="420"/>
      </w:pPr>
      <w:r>
        <w:rPr>
          <w:rFonts w:hint="eastAsia"/>
        </w:rPr>
        <w:t>特此声明！</w:t>
      </w:r>
    </w:p>
    <w:p>
      <w:pPr>
        <w:autoSpaceDE w:val="0"/>
        <w:autoSpaceDN w:val="0"/>
        <w:adjustRightInd w:val="0"/>
        <w:spacing w:line="360" w:lineRule="auto"/>
        <w:rPr>
          <w:rFonts w:ascii="宋体" w:hAnsi="宋体"/>
          <w:b/>
        </w:rPr>
      </w:pPr>
      <w:r>
        <w:rPr>
          <w:rFonts w:hint="eastAsia" w:ascii="宋体" w:hAnsi="宋体"/>
          <w:b/>
        </w:rPr>
        <w:t>备注：1.本声明函必须提供且内容不得擅自删改，否则视为无效响应。</w:t>
      </w:r>
    </w:p>
    <w:p>
      <w:pPr>
        <w:spacing w:line="360" w:lineRule="auto"/>
        <w:ind w:right="-1" w:firstLine="316" w:firstLineChars="150"/>
        <w:jc w:val="left"/>
        <w:rPr>
          <w:rFonts w:ascii="宋体" w:hAnsi="宋体"/>
          <w:b/>
          <w:szCs w:val="21"/>
        </w:rPr>
      </w:pPr>
    </w:p>
    <w:p>
      <w:pPr>
        <w:spacing w:line="360" w:lineRule="auto"/>
        <w:ind w:right="-1" w:firstLine="315" w:firstLineChars="150"/>
        <w:jc w:val="left"/>
      </w:pPr>
    </w:p>
    <w:p>
      <w:pPr>
        <w:spacing w:line="360" w:lineRule="auto"/>
        <w:ind w:right="420" w:firstLine="315" w:firstLineChars="150"/>
        <w:jc w:val="left"/>
      </w:pPr>
      <w:r>
        <w:rPr>
          <w:rFonts w:hint="eastAsia"/>
        </w:rPr>
        <w:t>响应供应商名称（单位盖公章）：</w:t>
      </w:r>
    </w:p>
    <w:p>
      <w:pPr>
        <w:spacing w:line="360" w:lineRule="auto"/>
        <w:ind w:right="420" w:firstLine="315" w:firstLineChars="150"/>
        <w:jc w:val="left"/>
      </w:pPr>
      <w:r>
        <w:rPr>
          <w:rFonts w:hint="eastAsia"/>
        </w:rPr>
        <w:t>地址：</w:t>
      </w:r>
    </w:p>
    <w:p>
      <w:pPr>
        <w:spacing w:line="360" w:lineRule="auto"/>
        <w:ind w:right="420" w:firstLine="315" w:firstLineChars="150"/>
        <w:jc w:val="left"/>
        <w:sectPr>
          <w:pgSz w:w="11906" w:h="16838"/>
          <w:pgMar w:top="1134" w:right="1134" w:bottom="1134" w:left="1134" w:header="671" w:footer="579" w:gutter="0"/>
          <w:cols w:space="425" w:num="1"/>
          <w:docGrid w:type="lines" w:linePitch="312" w:charSpace="0"/>
        </w:sectPr>
      </w:pPr>
      <w:r>
        <w:rPr>
          <w:rFonts w:hint="eastAsia"/>
        </w:rPr>
        <w:t>日期：</w:t>
      </w:r>
    </w:p>
    <w:p>
      <w:pPr>
        <w:pStyle w:val="3"/>
        <w:adjustRightInd w:val="0"/>
        <w:snapToGrid w:val="0"/>
        <w:spacing w:beforeLines="50" w:afterLines="50" w:line="360" w:lineRule="auto"/>
        <w:jc w:val="center"/>
        <w:rPr>
          <w:b w:val="0"/>
        </w:rPr>
      </w:pPr>
      <w:bookmarkStart w:id="16" w:name="_Toc275865607"/>
      <w:bookmarkStart w:id="17" w:name="_Toc52165081"/>
      <w:bookmarkStart w:id="18" w:name="_Toc50737329"/>
      <w:bookmarkStart w:id="19" w:name="_Toc50737297"/>
      <w:bookmarkStart w:id="20" w:name="_Toc50736477"/>
      <w:bookmarkStart w:id="21" w:name="_Toc52165080"/>
      <w:bookmarkStart w:id="22" w:name="_Toc50736476"/>
      <w:bookmarkStart w:id="23" w:name="_Toc50737328"/>
      <w:bookmarkStart w:id="24" w:name="_Toc50737296"/>
      <w:bookmarkStart w:id="25" w:name="_Toc50691034"/>
      <w:r>
        <w:rPr>
          <w:rFonts w:hint="eastAsia"/>
          <w:b w:val="0"/>
        </w:rPr>
        <w:t>法定代表人授权委托书</w:t>
      </w:r>
      <w:bookmarkEnd w:id="16"/>
      <w:bookmarkEnd w:id="17"/>
      <w:bookmarkEnd w:id="18"/>
      <w:bookmarkEnd w:id="19"/>
      <w:bookmarkEnd w:id="20"/>
    </w:p>
    <w:p>
      <w:pPr>
        <w:pStyle w:val="17"/>
        <w:adjustRightInd w:val="0"/>
        <w:snapToGrid w:val="0"/>
        <w:spacing w:line="440" w:lineRule="exact"/>
        <w:ind w:firstLine="420" w:firstLineChars="200"/>
      </w:pPr>
      <w:r>
        <w:rPr>
          <w:rFonts w:hint="eastAsia"/>
        </w:rPr>
        <w:t>本授权委托书声明：注册于</w:t>
      </w:r>
      <w:r>
        <w:rPr>
          <w:rFonts w:hint="eastAsia"/>
          <w:u w:val="single"/>
        </w:rPr>
        <w:t xml:space="preserve">   （响应供应商地址）    </w:t>
      </w:r>
      <w:r>
        <w:rPr>
          <w:rFonts w:hint="eastAsia"/>
        </w:rPr>
        <w:t>的</w:t>
      </w:r>
      <w:r>
        <w:rPr>
          <w:rFonts w:hint="eastAsia"/>
          <w:u w:val="single"/>
        </w:rPr>
        <w:t xml:space="preserve">    （响应供应商名称）    </w:t>
      </w:r>
      <w:r>
        <w:rPr>
          <w:rFonts w:hint="eastAsia"/>
        </w:rPr>
        <w:t>在下面签名的</w:t>
      </w:r>
      <w:r>
        <w:rPr>
          <w:rFonts w:hint="eastAsia"/>
          <w:u w:val="single"/>
        </w:rPr>
        <w:t xml:space="preserve">   （法定代表人姓名、职务）    </w:t>
      </w:r>
      <w:r>
        <w:rPr>
          <w:rFonts w:hint="eastAsia"/>
        </w:rPr>
        <w:t>在此授权</w:t>
      </w:r>
      <w:r>
        <w:rPr>
          <w:rFonts w:hint="eastAsia"/>
          <w:u w:val="single"/>
        </w:rPr>
        <w:t>（被授权人姓名、职务）</w:t>
      </w:r>
      <w:r>
        <w:rPr>
          <w:rFonts w:hint="eastAsia"/>
        </w:rPr>
        <w:t>作为我公司的合法代理人，就</w:t>
      </w:r>
      <w:r>
        <w:rPr>
          <w:rFonts w:hint="eastAsia"/>
          <w:u w:val="single"/>
        </w:rPr>
        <w:t xml:space="preserve">  国家税务总局深圳市罗湖区税务局税收征管表格印制项目   </w:t>
      </w:r>
      <w:r>
        <w:rPr>
          <w:rFonts w:hint="eastAsia"/>
        </w:rPr>
        <w:t>（项目编号：CLF0119SZ14QY80）的谈判活动，提交响应文件及采购合同的签订、执行、完成和售后服务，作为响应供应商代表以我方的名义处理一切与之有关的事务。</w:t>
      </w:r>
    </w:p>
    <w:p>
      <w:pPr>
        <w:pStyle w:val="17"/>
        <w:adjustRightInd w:val="0"/>
        <w:snapToGrid w:val="0"/>
        <w:spacing w:line="440" w:lineRule="exact"/>
        <w:ind w:firstLine="420" w:firstLineChars="200"/>
      </w:pPr>
      <w:r>
        <w:rPr>
          <w:rFonts w:hint="eastAsia"/>
        </w:rPr>
        <w:t>被授权人（响应供应商授权代表）无转委托权限。</w:t>
      </w:r>
    </w:p>
    <w:p>
      <w:pPr>
        <w:adjustRightInd w:val="0"/>
        <w:snapToGrid w:val="0"/>
        <w:spacing w:line="440" w:lineRule="exact"/>
        <w:ind w:firstLine="420" w:firstLineChars="200"/>
        <w:rPr>
          <w:rFonts w:ascii="宋体"/>
        </w:rPr>
      </w:pPr>
      <w:r>
        <w:rPr>
          <w:rFonts w:hint="eastAsia" w:ascii="宋体"/>
        </w:rPr>
        <w:t>本授权书自法定代表人签字（盖章）之日起生效，特此声明。</w:t>
      </w:r>
    </w:p>
    <w:p>
      <w:pPr>
        <w:spacing w:line="480" w:lineRule="auto"/>
        <w:ind w:left="2" w:leftChars="1" w:firstLine="1365" w:firstLineChars="650"/>
        <w:rPr>
          <w:rFonts w:ascii="宋体" w:hAnsi="宋体"/>
        </w:rPr>
      </w:pPr>
    </w:p>
    <w:p>
      <w:pPr>
        <w:spacing w:line="360" w:lineRule="auto"/>
        <w:rPr>
          <w:rFonts w:ascii="宋体"/>
          <w:b/>
        </w:rPr>
      </w:pPr>
      <w:r>
        <w:rPr>
          <w:rFonts w:hint="eastAsia" w:ascii="宋体"/>
          <w:b/>
        </w:rPr>
        <w:t>随附《法定代表人证明》</w:t>
      </w:r>
    </w:p>
    <w:p>
      <w:pPr>
        <w:spacing w:line="360" w:lineRule="auto"/>
        <w:rPr>
          <w:rFonts w:ascii="宋体"/>
        </w:rPr>
      </w:pPr>
    </w:p>
    <w:p>
      <w:pPr>
        <w:spacing w:line="360" w:lineRule="auto"/>
        <w:rPr>
          <w:rFonts w:ascii="宋体"/>
        </w:rPr>
      </w:pPr>
      <w:r>
        <w:rPr>
          <w:rFonts w:hint="eastAsia" w:ascii="宋体"/>
        </w:rPr>
        <w:t>响应供应商名称（</w:t>
      </w:r>
      <w:r>
        <w:rPr>
          <w:rFonts w:hint="eastAsia" w:ascii="宋体" w:hAnsi="宋体"/>
        </w:rPr>
        <w:t>盖</w:t>
      </w:r>
      <w:r>
        <w:rPr>
          <w:rFonts w:hint="eastAsia" w:ascii="宋体"/>
        </w:rPr>
        <w:t>公章）：</w:t>
      </w:r>
    </w:p>
    <w:p>
      <w:pPr>
        <w:spacing w:line="360" w:lineRule="auto"/>
        <w:rPr>
          <w:rFonts w:ascii="宋体"/>
        </w:rPr>
      </w:pPr>
      <w:r>
        <w:rPr>
          <w:rFonts w:hint="eastAsia" w:ascii="宋体"/>
        </w:rPr>
        <w:t>地      址：</w:t>
      </w:r>
    </w:p>
    <w:p>
      <w:pPr>
        <w:tabs>
          <w:tab w:val="left" w:pos="3780"/>
        </w:tabs>
        <w:spacing w:line="360" w:lineRule="auto"/>
        <w:rPr>
          <w:rFonts w:ascii="宋体"/>
        </w:rPr>
      </w:pPr>
      <w:r>
        <w:rPr>
          <w:rFonts w:hint="eastAsia" w:ascii="宋体"/>
        </w:rPr>
        <w:t>法定代表人（签字或盖章）：                         签字日期：</w:t>
      </w:r>
      <w:r>
        <w:rPr>
          <w:rFonts w:hint="eastAsia" w:ascii="宋体" w:hAnsi="宋体"/>
        </w:rPr>
        <w:t>年月日</w:t>
      </w:r>
    </w:p>
    <w:p>
      <w:pPr>
        <w:spacing w:line="360" w:lineRule="auto"/>
        <w:ind w:left="1159" w:leftChars="552" w:firstLine="2261"/>
        <w:rPr>
          <w:rFonts w:ascii="宋体"/>
        </w:rPr>
      </w:pPr>
    </w:p>
    <w:p>
      <w:pPr>
        <w:spacing w:line="360" w:lineRule="auto"/>
        <w:rPr>
          <w:rFonts w:ascii="宋体"/>
        </w:rPr>
      </w:pPr>
    </w:p>
    <w:p>
      <w:pPr>
        <w:spacing w:line="360" w:lineRule="auto"/>
        <w:rPr>
          <w:rFonts w:ascii="宋体"/>
        </w:rPr>
      </w:pPr>
    </w:p>
    <w:p>
      <w:pPr>
        <w:spacing w:line="360" w:lineRule="auto"/>
        <w:rPr>
          <w:rFonts w:ascii="宋体"/>
          <w:sz w:val="24"/>
        </w:rPr>
      </w:pPr>
      <w:bookmarkStart w:id="26" w:name="_Toc226217114"/>
      <w:r>
        <w:rPr>
          <w:rFonts w:ascii="宋体" w:hAnsi="宋体" w:cs="宋体"/>
          <w:kern w:val="0"/>
          <w:sz w:val="24"/>
        </w:rPr>
        <w:pict>
          <v:group id="组合 7" o:spid="_x0000_s1026" o:spt="203" style="position:absolute;left:0pt;margin-left:1.1pt;margin-top:0.75pt;height:149.3pt;width:465.3pt;z-index:251659264;mso-width-relative:page;mso-height-relative:page;" coordorigin="1074,9569" coordsize="9306,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L4rgIAAAgIAAAOAAAAZHJzL2Uyb0RvYy54bWzklc1u1DAQgO9IvIPlO02y/4maraotrZAK&#10;VBQewOs4iYVjG9u72XLugSPvw/MgXoOxk91ut+VSBEIih8STsccz34zHxyebRqA1M5YrmePkKMaI&#10;SaoKLqscf3h//mKGkXVEFkQoyXJ8wyw+mT9/dtzqjA1UrUTBDAIj0matznHtnM6iyNKaNcQeKc0k&#10;KEtlGuJANFVUGNKC9UZEgzieRK0yhTaKMmvh71mnxPNgvywZdW/L0jKHRI7BNxfeJryX/h3Nj0lW&#10;GaJrTns3yBO8aAiXsOnO1BlxBK0Mf2Cq4dQoq0p3RFUTqbLklIUYIJokPojmwqiVDrFUWVvpHSZA&#10;e8DpyWbpm/WVQbzI8RQjSRpI0Y9vt9+/fkFTz6bVVQZTLoy+1lem/1F1kg93U5rGfyEQtAlUb3ZU&#10;2cYhCj/HaZwOE4BPQZfM0kkCQuBOa0iOX5fE0xFGoE7Hk3Sre9mvT4fxpFs8SGcTr422G0fev507&#10;rYYasneY7O9huq6JZoG+9Qx6TFDPHaZ3UFtEVoKhoffJbw6zPCYPxOpLRT9aJNWihlns1BjV1owU&#10;4FQSYri3wAsWlqJl+1oVkASycioU1AHhR0htOY/G6a84kUwb6y6YapAf5NiA88E8WV9a1yHdTgnu&#10;K8GLcy5EEEy1XAiD1gQO0Xl4+izY/WlCotZncDAOlu/p7L6JODyPmWi4g24geJPj2f4kISHpW0Yd&#10;a7dZbnrsS1XcADqjutMN3QgGtTKfMWrhZOfYfloRwzASryTgT5PRyLeCIIzG0wEIZl+z3NcQScFU&#10;jh1G3XDhuvax0oZXNeyUhHClOoWUlTzA9K52XvV+Q1l2bv/x+kwf1ufoL9bneDo7PMn/b32GvhpO&#10;+11B/PtlGpoqXDehz/ZXo7/P9uVQ1ncX+PwnAAAA//8DAFBLAwQUAAYACAAAACEA9LcPxN4AAAAH&#10;AQAADwAAAGRycy9kb3ducmV2LnhtbEyPQUvDQBCF74L/YRnBm91NQkVjNqUU9VQEW0G8TbPTJDS7&#10;G7LbJP33jid7fPMe731TrGbbiZGG0HqnIVkoEOQqb1pXa/javz08gQgRncHOO9JwoQCr8vamwNz4&#10;yX3SuIu14BIXctTQxNjnUoaqIYth4Xty7B39YDGyHGppBpy43HYyVepRWmwdLzTY06ah6rQ7Ww3v&#10;E07rLHkdt6fj5vKzX358bxPS+v5uXr+AiDTH/zD84TM6lMx08Gdngug0pCkH+bwEwe5zlvIjBw2Z&#10;UgnIspDX/OUvAAAA//8DAFBLAQItABQABgAIAAAAIQC2gziS/gAAAOEBAAATAAAAAAAAAAAAAAAA&#10;AAAAAABbQ29udGVudF9UeXBlc10ueG1sUEsBAi0AFAAGAAgAAAAhADj9If/WAAAAlAEAAAsAAAAA&#10;AAAAAAAAAAAALwEAAF9yZWxzLy5yZWxzUEsBAi0AFAAGAAgAAAAhAC1DEviuAgAACAgAAA4AAAAA&#10;AAAAAAAAAAAALgIAAGRycy9lMm9Eb2MueG1sUEsBAi0AFAAGAAgAAAAhAPS3D8TeAAAABwEAAA8A&#10;AAAAAAAAAAAAAAAACAUAAGRycy9kb3ducmV2LnhtbFBLBQYAAAAABAAEAPMAAAATBgAAAAA=&#10;">
            <o:lock v:ext="edit"/>
            <v:rect id="Rectangle 3" o:spid="_x0000_s1027" o:spt="1" style="position:absolute;left:1074;top:9569;height:2986;width:459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path/>
              <v:fill focussize="0,0"/>
              <v:stroke/>
              <v:imagedata o:title=""/>
              <o:lock v:ext="edit"/>
              <v:textbox>
                <w:txbxContent>
                  <w:p>
                    <w:pPr>
                      <w:jc w:val="center"/>
                    </w:pPr>
                    <w:r>
                      <w:rPr>
                        <w:rFonts w:hint="eastAsia"/>
                      </w:rPr>
                      <w:t>被授权人（授权代表）</w:t>
                    </w:r>
                  </w:p>
                  <w:p>
                    <w:pPr>
                      <w:jc w:val="center"/>
                    </w:pPr>
                    <w:r>
                      <w:rPr>
                        <w:rFonts w:hint="eastAsia"/>
                      </w:rPr>
                      <w:t>居民身份证复印件粘贴处</w:t>
                    </w:r>
                  </w:p>
                  <w:p>
                    <w:pPr>
                      <w:ind w:firstLine="1050" w:firstLineChars="500"/>
                      <w:jc w:val="center"/>
                    </w:pPr>
                  </w:p>
                  <w:p>
                    <w:pPr>
                      <w:jc w:val="center"/>
                    </w:pPr>
                    <w:r>
                      <w:rPr>
                        <w:rFonts w:hint="eastAsia"/>
                      </w:rPr>
                      <w:t>（正面）</w:t>
                    </w:r>
                  </w:p>
                </w:txbxContent>
              </v:textbox>
            </v:rect>
            <v:rect id="Rectangle 4" o:spid="_x0000_s1028" o:spt="1" style="position:absolute;left:5784;top:9569;height:2986;width:459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path/>
              <v:fill focussize="0,0"/>
              <v:stroke/>
              <v:imagedata o:title=""/>
              <o:lock v:ext="edit"/>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txbxContent>
              </v:textbox>
            </v:rect>
          </v:group>
        </w:pic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3"/>
        <w:adjustRightInd w:val="0"/>
        <w:snapToGrid w:val="0"/>
        <w:spacing w:beforeLines="50" w:afterLines="50" w:line="360" w:lineRule="auto"/>
        <w:jc w:val="center"/>
        <w:rPr>
          <w:b w:val="0"/>
        </w:rPr>
      </w:pPr>
      <w:r>
        <w:rPr>
          <w:rFonts w:ascii="宋体"/>
          <w:sz w:val="24"/>
        </w:rPr>
        <w:br w:type="page"/>
      </w:r>
      <w:bookmarkEnd w:id="26"/>
      <w:bookmarkStart w:id="27" w:name="_Toc275865608"/>
      <w:r>
        <w:rPr>
          <w:rFonts w:hint="eastAsia"/>
          <w:b w:val="0"/>
        </w:rPr>
        <w:t>法定代表人证明书</w:t>
      </w:r>
      <w:bookmarkEnd w:id="21"/>
      <w:bookmarkEnd w:id="22"/>
      <w:bookmarkEnd w:id="23"/>
      <w:bookmarkEnd w:id="24"/>
      <w:bookmarkEnd w:id="25"/>
      <w:bookmarkEnd w:id="27"/>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360" w:lineRule="auto"/>
        <w:ind w:firstLine="420" w:firstLineChars="200"/>
        <w:rPr>
          <w:rFonts w:ascii="宋体" w:hAnsi="宋体"/>
        </w:rPr>
      </w:pPr>
      <w:r>
        <w:rPr>
          <w:rFonts w:hint="eastAsia" w:ascii="宋体"/>
        </w:rPr>
        <w:t>本证明书自签发之日起生效，</w:t>
      </w:r>
      <w:r>
        <w:rPr>
          <w:rFonts w:hint="eastAsia" w:ascii="宋体" w:hAnsi="宋体"/>
        </w:rPr>
        <w:t>有效期与                                               本公司响应文件中标注的响应有效期相同。</w:t>
      </w:r>
    </w:p>
    <w:p>
      <w:pPr>
        <w:spacing w:line="480" w:lineRule="auto"/>
        <w:ind w:firstLine="420" w:firstLineChars="200"/>
        <w:rPr>
          <w:rFonts w:ascii="宋体" w:hAnsi="宋体"/>
        </w:rPr>
      </w:pP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营业执照（注册号）：</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hAnsi="宋体" w:cs="宋体"/>
          <w:kern w:val="0"/>
          <w:sz w:val="24"/>
        </w:rPr>
        <w:pict>
          <v:group id="组合 4" o:spid="_x0000_s1029" o:spt="203" style="position:absolute;left:0pt;margin-left:1.1pt;margin-top:0.75pt;height:149.3pt;width:465.3pt;z-index:251660288;mso-width-relative:page;mso-height-relative:page;" coordorigin="1074,9569" coordsize="9306,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AIsQIAAA8IAAAOAAAAZHJzL2Uyb0RvYy54bWzklc1u1DAQgO9IvIPlO02y3b9EzVZVSyuk&#10;AhWFB/A6TmLh2Mb2bracOXDkfXgexGswdpLd7VIuRSAhcnA8Hns8883YPjndNAKtmbFcyRwnRzFG&#10;TFJVcFnl+N3by2dzjKwjsiBCSZbjO2bx6eLpk5NWZ2ykaiUKZhAYkTZrdY5r53QWRZbWrCH2SGkm&#10;QVkq0xAHoqmiwpAWrDciGsXxNGqVKbRRlFkLoxedEi+C/bJk1L0uS8scEjkG31xoTWiXvo0WJySr&#10;DNE1p70b5BFeNIRL2HRr6oI4glaG/2Sq4dQoq0p3RFUTqbLklIUYIJokPojmyqiVDrFUWVvpLSZA&#10;e8Dp0Wbpq/WNQbzI8RgjSRpI0fevn759+YzGnk2rqwymXBl9q29MP1B1kg93U5rG/yEQtAlU77ZU&#10;2cYhCoOTNE6PE4BPQZfM02kCQuBOa0iOX5fEM9ge1Olkmg665/369DiedotH6XzqtdGwceT927rT&#10;aqghu8Nkfw/TbU00C/StZ9BjmgyY3kBtEVkJhoJPfnOY5TF5IFZfK/reIqnOa5jFzoxRbc1IAU4l&#10;IYZ7C7xgYSlati9VAUkgK6dCQR0QfoDUwHk8SX/FiWTaWHfFVIN8J8cGnA/myfraug7pMCW4rwQv&#10;LrkQQTDV8lwYtCZwiC7D12fB7k8TErU+g6NJsHxPZ/dNxOF7yETDHdwGgjc5nu9PEhKSPjDyVWkz&#10;t1luQt2OvCE/slTFHRA0qjvkcClBp1bmI0YtHPAc2w8rYhhG4oWELKTJeOxvhCCMJ7MRCGZfs9zX&#10;EEnBVI4dRl333HW3yEobXtWwUxKiluoMMlfywHTnVe8+VGfn6x8vU6iE7jTvynQ2gPoLZTqZzQ8P&#10;9H9epscD/X+lTMPdCq9OuG77F9I/a/tyKOvdO774AQAA//8DAFBLAwQUAAYACAAAACEA9LcPxN4A&#10;AAAHAQAADwAAAGRycy9kb3ducmV2LnhtbEyPQUvDQBCF74L/YRnBm91NQkVjNqUU9VQEW0G8TbPT&#10;JDS7G7LbJP33jid7fPMe731TrGbbiZGG0HqnIVkoEOQqb1pXa/javz08gQgRncHOO9JwoQCr8vam&#10;wNz4yX3SuIu14BIXctTQxNjnUoaqIYth4Xty7B39YDGyHGppBpy43HYyVepRWmwdLzTY06ah6rQ7&#10;Ww3vE07rLHkdt6fj5vKzX358bxPS+v5uXr+AiDTH/zD84TM6lMx08Gdngug0pCkH+bwEwe5zlvIj&#10;Bw2ZUgnIspDX/OUvAAAA//8DAFBLAQItABQABgAIAAAAIQC2gziS/gAAAOEBAAATAAAAAAAAAAAA&#10;AAAAAAAAAABbQ29udGVudF9UeXBlc10ueG1sUEsBAi0AFAAGAAgAAAAhADj9If/WAAAAlAEAAAsA&#10;AAAAAAAAAAAAAAAALwEAAF9yZWxzLy5yZWxzUEsBAi0AFAAGAAgAAAAhAHYhAAixAgAADwgAAA4A&#10;AAAAAAAAAAAAAAAALgIAAGRycy9lMm9Eb2MueG1sUEsBAi0AFAAGAAgAAAAhAPS3D8TeAAAABwEA&#10;AA8AAAAAAAAAAAAAAAAACwUAAGRycy9kb3ducmV2LnhtbFBLBQYAAAAABAAEAPMAAAAWBgAAAAA=&#10;">
            <o:lock v:ext="edit"/>
            <v:rect id="Rectangle 6" o:spid="_x0000_s1030" o:spt="1" style="position:absolute;left:1074;top:9569;height:2986;width:459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path/>
              <v:fill focussize="0,0"/>
              <v:stroke/>
              <v:imagedata o:title=""/>
              <o:lock v:ext="edit"/>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txbxContent>
              </v:textbox>
            </v:rect>
            <v:rect id="Rectangle 7" o:spid="_x0000_s1031" o:spt="1" style="position:absolute;left:5784;top:9569;height:2986;width:459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path/>
              <v:fill focussize="0,0"/>
              <v:stroke/>
              <v:imagedata o:title=""/>
              <o:lock v:ext="edit"/>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txbxContent>
              </v:textbox>
            </v:rect>
          </v:group>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hAnsi="宋体"/>
        </w:rPr>
      </w:pPr>
      <w:r>
        <w:rPr>
          <w:rFonts w:hint="eastAsia" w:ascii="宋体" w:hAnsi="宋体"/>
        </w:rPr>
        <w:t>响应供应商名称：（盖公章）：</w:t>
      </w:r>
    </w:p>
    <w:p>
      <w:pPr>
        <w:spacing w:line="500" w:lineRule="exact"/>
        <w:rPr>
          <w:rFonts w:ascii="宋体" w:hAnsi="宋体"/>
        </w:rPr>
      </w:pPr>
      <w:r>
        <w:rPr>
          <w:rFonts w:hint="eastAsia" w:ascii="宋体" w:hAnsi="宋体"/>
        </w:rPr>
        <w:t xml:space="preserve">                                           地址：</w:t>
      </w:r>
    </w:p>
    <w:p>
      <w:pPr>
        <w:spacing w:line="500" w:lineRule="exact"/>
        <w:rPr>
          <w:rFonts w:ascii="宋体"/>
          <w:b/>
          <w:bCs/>
        </w:rPr>
      </w:pPr>
      <w:r>
        <w:rPr>
          <w:rFonts w:hint="eastAsia" w:ascii="宋体" w:hAnsi="宋体"/>
        </w:rPr>
        <w:t xml:space="preserve">                                           签发日期：</w:t>
      </w:r>
    </w:p>
    <w:p>
      <w:pPr>
        <w:spacing w:line="500" w:lineRule="exact"/>
        <w:rPr>
          <w:rFonts w:ascii="宋体"/>
          <w:b/>
          <w:bCs/>
        </w:rPr>
      </w:pPr>
    </w:p>
    <w:p>
      <w:pPr>
        <w:spacing w:line="500" w:lineRule="exact"/>
        <w:rPr>
          <w:rFonts w:ascii="宋体"/>
          <w:b/>
          <w:bCs/>
        </w:rPr>
      </w:pPr>
    </w:p>
    <w:p>
      <w:pPr>
        <w:spacing w:line="500" w:lineRule="exact"/>
        <w:rPr>
          <w:rFonts w:ascii="黑体"/>
          <w:b/>
          <w:bCs/>
          <w:sz w:val="28"/>
        </w:rPr>
      </w:pPr>
    </w:p>
    <w:p>
      <w:pPr>
        <w:spacing w:line="440" w:lineRule="exact"/>
        <w:ind w:left="425"/>
        <w:rPr>
          <w:bCs/>
        </w:rPr>
      </w:pPr>
    </w:p>
    <w:p>
      <w:pPr>
        <w:spacing w:line="440" w:lineRule="exact"/>
        <w:rPr>
          <w:rFonts w:ascii="黑体" w:eastAsia="黑体"/>
          <w:b/>
          <w:bCs/>
          <w:sz w:val="28"/>
        </w:rPr>
      </w:pPr>
      <w:bookmarkStart w:id="28" w:name="_承诺函"/>
      <w:bookmarkEnd w:id="28"/>
    </w:p>
    <w:p>
      <w:pPr>
        <w:pStyle w:val="3"/>
        <w:adjustRightInd w:val="0"/>
        <w:snapToGrid w:val="0"/>
        <w:spacing w:beforeLines="50" w:afterLines="50" w:line="240" w:lineRule="auto"/>
        <w:jc w:val="center"/>
        <w:rPr>
          <w:b w:val="0"/>
        </w:rPr>
        <w:sectPr>
          <w:pgSz w:w="11906" w:h="16838"/>
          <w:pgMar w:top="1134" w:right="1134" w:bottom="1134" w:left="1134" w:header="671" w:footer="579" w:gutter="0"/>
          <w:cols w:space="425" w:num="1"/>
          <w:docGrid w:type="lines" w:linePitch="312" w:charSpace="0"/>
        </w:sectPr>
      </w:pPr>
      <w:bookmarkStart w:id="29" w:name="_Toc275865610"/>
    </w:p>
    <w:bookmarkEnd w:id="29"/>
    <w:p>
      <w:pPr>
        <w:spacing w:line="360" w:lineRule="auto"/>
        <w:jc w:val="center"/>
        <w:rPr>
          <w:b/>
          <w:sz w:val="28"/>
          <w:szCs w:val="28"/>
        </w:rPr>
      </w:pPr>
      <w:r>
        <w:rPr>
          <w:rFonts w:hint="eastAsia"/>
          <w:b/>
          <w:sz w:val="28"/>
          <w:szCs w:val="28"/>
        </w:rPr>
        <w:t>报价表</w:t>
      </w:r>
    </w:p>
    <w:p>
      <w:pPr>
        <w:adjustRightInd w:val="0"/>
        <w:snapToGrid w:val="0"/>
        <w:jc w:val="center"/>
        <w:rPr>
          <w:b/>
          <w:sz w:val="24"/>
        </w:rPr>
      </w:pPr>
      <w:r>
        <w:rPr>
          <w:rFonts w:hint="eastAsia"/>
          <w:b/>
          <w:sz w:val="24"/>
        </w:rPr>
        <w:t>（首次报价）</w:t>
      </w:r>
    </w:p>
    <w:p>
      <w:pPr>
        <w:adjustRightInd w:val="0"/>
        <w:snapToGrid w:val="0"/>
        <w:rPr>
          <w:rFonts w:ascii="宋体" w:hAnsi="宋体"/>
        </w:rPr>
      </w:pPr>
    </w:p>
    <w:p>
      <w:pPr>
        <w:adjustRightInd w:val="0"/>
        <w:snapToGrid w:val="0"/>
        <w:rPr>
          <w:rFonts w:ascii="宋体" w:hAnsi="宋体"/>
          <w:sz w:val="24"/>
        </w:rPr>
      </w:pPr>
      <w:r>
        <w:rPr>
          <w:rFonts w:hint="eastAsia" w:ascii="宋体" w:hAnsi="宋体"/>
        </w:rPr>
        <w:t>响应供应商名称：                              项目编号：CLF0119SZ14QY80</w:t>
      </w:r>
    </w:p>
    <w:tbl>
      <w:tblPr>
        <w:tblStyle w:val="30"/>
        <w:tblW w:w="96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23"/>
        <w:gridCol w:w="1189"/>
        <w:gridCol w:w="3190"/>
        <w:gridCol w:w="25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723" w:type="dxa"/>
            <w:tcBorders>
              <w:top w:val="single" w:color="auto" w:sz="12" w:space="0"/>
              <w:left w:val="single" w:color="auto" w:sz="12" w:space="0"/>
              <w:bottom w:val="double" w:color="auto" w:sz="4" w:space="0"/>
              <w:right w:val="single" w:color="auto" w:sz="4" w:space="0"/>
            </w:tcBorders>
            <w:shd w:val="clear" w:color="auto" w:fill="EEECE1"/>
            <w:vAlign w:val="center"/>
          </w:tcPr>
          <w:p>
            <w:pPr>
              <w:adjustRightInd w:val="0"/>
              <w:snapToGrid w:val="0"/>
              <w:jc w:val="center"/>
              <w:rPr>
                <w:rFonts w:ascii="宋体"/>
                <w:b/>
                <w:szCs w:val="21"/>
              </w:rPr>
            </w:pPr>
            <w:r>
              <w:rPr>
                <w:rFonts w:hint="eastAsia" w:ascii="宋体"/>
                <w:b/>
                <w:szCs w:val="21"/>
              </w:rPr>
              <w:t>采购内容</w:t>
            </w:r>
          </w:p>
        </w:tc>
        <w:tc>
          <w:tcPr>
            <w:tcW w:w="1189" w:type="dxa"/>
            <w:tcBorders>
              <w:top w:val="single" w:color="auto" w:sz="12" w:space="0"/>
              <w:left w:val="single" w:color="auto" w:sz="4" w:space="0"/>
              <w:bottom w:val="double" w:color="auto" w:sz="4" w:space="0"/>
              <w:right w:val="single" w:color="auto" w:sz="4" w:space="0"/>
            </w:tcBorders>
            <w:shd w:val="clear" w:color="auto" w:fill="EEECE1"/>
            <w:vAlign w:val="center"/>
          </w:tcPr>
          <w:p>
            <w:pPr>
              <w:adjustRightInd w:val="0"/>
              <w:snapToGrid w:val="0"/>
              <w:jc w:val="center"/>
              <w:rPr>
                <w:rFonts w:ascii="宋体"/>
                <w:b/>
                <w:szCs w:val="21"/>
              </w:rPr>
            </w:pPr>
            <w:r>
              <w:rPr>
                <w:rFonts w:hint="eastAsia" w:ascii="宋体"/>
                <w:b/>
                <w:szCs w:val="21"/>
              </w:rPr>
              <w:t>数量</w:t>
            </w:r>
          </w:p>
        </w:tc>
        <w:tc>
          <w:tcPr>
            <w:tcW w:w="3190" w:type="dxa"/>
            <w:tcBorders>
              <w:top w:val="single" w:color="auto" w:sz="12" w:space="0"/>
              <w:left w:val="single" w:color="auto" w:sz="4" w:space="0"/>
              <w:bottom w:val="double" w:color="auto" w:sz="4" w:space="0"/>
              <w:right w:val="single" w:color="auto" w:sz="4" w:space="0"/>
            </w:tcBorders>
            <w:shd w:val="clear" w:color="auto" w:fill="EEECE1"/>
            <w:vAlign w:val="center"/>
          </w:tcPr>
          <w:p>
            <w:pPr>
              <w:adjustRightInd w:val="0"/>
              <w:snapToGrid w:val="0"/>
              <w:jc w:val="center"/>
              <w:rPr>
                <w:rFonts w:ascii="宋体"/>
                <w:b/>
                <w:szCs w:val="21"/>
              </w:rPr>
            </w:pPr>
            <w:r>
              <w:rPr>
                <w:rFonts w:hint="eastAsia" w:ascii="宋体"/>
                <w:b/>
                <w:szCs w:val="21"/>
              </w:rPr>
              <w:t>投标下浮率</w:t>
            </w:r>
          </w:p>
          <w:p>
            <w:pPr>
              <w:adjustRightInd w:val="0"/>
              <w:snapToGrid w:val="0"/>
              <w:jc w:val="center"/>
              <w:rPr>
                <w:rFonts w:ascii="宋体"/>
                <w:b/>
                <w:szCs w:val="21"/>
              </w:rPr>
            </w:pPr>
            <w:r>
              <w:rPr>
                <w:rFonts w:hint="eastAsia" w:ascii="宋体"/>
                <w:b/>
                <w:szCs w:val="21"/>
              </w:rPr>
              <w:t>（%）</w:t>
            </w:r>
          </w:p>
        </w:tc>
        <w:tc>
          <w:tcPr>
            <w:tcW w:w="2506" w:type="dxa"/>
            <w:tcBorders>
              <w:top w:val="single" w:color="auto" w:sz="12" w:space="0"/>
              <w:left w:val="single" w:color="auto" w:sz="4" w:space="0"/>
              <w:bottom w:val="double" w:color="auto" w:sz="4" w:space="0"/>
              <w:right w:val="single" w:color="auto" w:sz="12" w:space="0"/>
            </w:tcBorders>
            <w:shd w:val="clear" w:color="auto" w:fill="EEECE1"/>
            <w:vAlign w:val="center"/>
          </w:tcPr>
          <w:p>
            <w:pPr>
              <w:adjustRightInd w:val="0"/>
              <w:snapToGrid w:val="0"/>
              <w:jc w:val="center"/>
              <w:rPr>
                <w:rFonts w:ascii="宋体"/>
                <w:b/>
                <w:szCs w:val="21"/>
              </w:rPr>
            </w:pPr>
            <w:r>
              <w:rPr>
                <w:rFonts w:hint="eastAsia" w:ascii="宋体"/>
                <w:b/>
                <w:szCs w:val="21"/>
              </w:rPr>
              <w:t>服务期限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2723"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rPr>
                <w:rFonts w:ascii="宋体"/>
                <w:bCs/>
                <w:szCs w:val="21"/>
              </w:rPr>
            </w:pPr>
            <w:r>
              <w:rPr>
                <w:rFonts w:hint="eastAsia" w:ascii="宋体" w:hAnsi="宋体" w:cs="Calibri"/>
                <w:sz w:val="24"/>
              </w:rPr>
              <w:t>◆国家税务总局深圳市罗湖区税务局税收征管表格印制</w:t>
            </w:r>
          </w:p>
        </w:tc>
        <w:tc>
          <w:tcPr>
            <w:tcW w:w="1189"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宋体"/>
                <w:bCs/>
                <w:szCs w:val="21"/>
              </w:rPr>
            </w:pPr>
            <w:r>
              <w:rPr>
                <w:rFonts w:hint="eastAsia" w:ascii="宋体" w:hAnsi="宋体" w:cs="Calibri"/>
                <w:kern w:val="0"/>
                <w:sz w:val="24"/>
              </w:rPr>
              <w:t>1项</w:t>
            </w:r>
          </w:p>
        </w:tc>
        <w:tc>
          <w:tcPr>
            <w:tcW w:w="3190" w:type="dxa"/>
            <w:tcBorders>
              <w:top w:val="single" w:color="auto" w:sz="4" w:space="0"/>
              <w:left w:val="single" w:color="auto" w:sz="4" w:space="0"/>
              <w:bottom w:val="single" w:color="auto" w:sz="12" w:space="0"/>
              <w:right w:val="single" w:color="auto" w:sz="4" w:space="0"/>
            </w:tcBorders>
            <w:vAlign w:val="center"/>
          </w:tcPr>
          <w:p>
            <w:pPr>
              <w:adjustRightInd w:val="0"/>
              <w:snapToGrid w:val="0"/>
              <w:ind w:firstLine="2100" w:firstLineChars="1000"/>
              <w:rPr>
                <w:rFonts w:ascii="宋体" w:hAnsi="宋体" w:cs="Calibri"/>
                <w:sz w:val="24"/>
              </w:rPr>
            </w:pPr>
            <w:r>
              <w:rPr>
                <w:rFonts w:hint="eastAsia" w:ascii="宋体" w:hAnsi="宋体"/>
              </w:rPr>
              <w:t>%</w:t>
            </w:r>
          </w:p>
        </w:tc>
        <w:tc>
          <w:tcPr>
            <w:tcW w:w="2506" w:type="dxa"/>
            <w:tcBorders>
              <w:top w:val="single" w:color="auto" w:sz="4" w:space="0"/>
              <w:left w:val="single" w:color="auto" w:sz="4" w:space="0"/>
              <w:bottom w:val="single" w:color="auto" w:sz="12" w:space="0"/>
              <w:right w:val="single" w:color="auto" w:sz="12" w:space="0"/>
            </w:tcBorders>
            <w:vAlign w:val="center"/>
          </w:tcPr>
          <w:p>
            <w:pPr>
              <w:pStyle w:val="68"/>
              <w:spacing w:line="240" w:lineRule="auto"/>
              <w:ind w:hanging="67"/>
              <w:rPr>
                <w:rFonts w:ascii="宋体" w:hAnsi="宋体" w:cs="Calibri"/>
                <w:spacing w:val="0"/>
                <w:kern w:val="2"/>
                <w:szCs w:val="24"/>
              </w:rPr>
            </w:pPr>
            <w:r>
              <w:rPr>
                <w:rFonts w:hint="eastAsia" w:ascii="宋体" w:hAnsi="宋体" w:cs="Calibri"/>
                <w:spacing w:val="0"/>
                <w:kern w:val="2"/>
                <w:szCs w:val="24"/>
              </w:rPr>
              <w:t>2020年1月1日至2022年12月31日，合同一年一签，最长不超过3年</w:t>
            </w:r>
          </w:p>
        </w:tc>
      </w:tr>
    </w:tbl>
    <w:p>
      <w:pPr>
        <w:spacing w:line="500" w:lineRule="exact"/>
        <w:rPr>
          <w:spacing w:val="4"/>
        </w:rPr>
      </w:pPr>
    </w:p>
    <w:p>
      <w:pPr>
        <w:spacing w:line="500" w:lineRule="exact"/>
        <w:rPr>
          <w:rFonts w:ascii="宋体" w:hAnsi="宋体"/>
          <w:u w:val="single"/>
        </w:rPr>
      </w:pPr>
      <w:r>
        <w:rPr>
          <w:rFonts w:hint="eastAsia"/>
          <w:spacing w:val="4"/>
        </w:rPr>
        <w:t>响应供应商名称（盖公章）：</w:t>
      </w:r>
    </w:p>
    <w:p>
      <w:pPr>
        <w:spacing w:line="520" w:lineRule="exact"/>
        <w:rPr>
          <w:spacing w:val="4"/>
        </w:rPr>
      </w:pPr>
      <w:r>
        <w:rPr>
          <w:rFonts w:hint="eastAsia" w:ascii="宋体"/>
        </w:rPr>
        <w:t>法定代表人或</w:t>
      </w:r>
      <w:r>
        <w:rPr>
          <w:rFonts w:hint="eastAsia" w:ascii="宋体" w:hAnsi="宋体"/>
        </w:rPr>
        <w:t>响应供应商授权代表（签名或盖章）：</w:t>
      </w:r>
      <w:r>
        <w:rPr>
          <w:rFonts w:hint="eastAsia"/>
          <w:spacing w:val="4"/>
        </w:rPr>
        <w:t>职务：日期</w:t>
      </w:r>
    </w:p>
    <w:p>
      <w:pPr>
        <w:spacing w:line="400" w:lineRule="exact"/>
        <w:rPr>
          <w:rFonts w:ascii="宋体" w:hAnsi="宋体"/>
          <w:bCs/>
          <w:szCs w:val="21"/>
        </w:rPr>
      </w:pPr>
      <w:r>
        <w:rPr>
          <w:rFonts w:hint="eastAsia" w:ascii="宋体" w:hAnsi="宋体"/>
          <w:bCs/>
          <w:szCs w:val="21"/>
        </w:rPr>
        <w:t>备注：</w:t>
      </w:r>
    </w:p>
    <w:p>
      <w:pPr>
        <w:numPr>
          <w:ilvl w:val="1"/>
          <w:numId w:val="33"/>
        </w:numPr>
        <w:snapToGrid w:val="0"/>
        <w:spacing w:line="360" w:lineRule="auto"/>
        <w:rPr>
          <w:strike/>
          <w:spacing w:val="4"/>
        </w:rPr>
      </w:pPr>
      <w:r>
        <w:rPr>
          <w:rFonts w:hint="eastAsia"/>
          <w:spacing w:val="4"/>
        </w:rPr>
        <w:t>中文大写金额用汉字，如壹、贰、叁、肆、伍、陆、柒、捌、玖、拾、佰、仟、万、亿、元、角、分、零、整（正）等。</w:t>
      </w:r>
    </w:p>
    <w:p>
      <w:pPr>
        <w:numPr>
          <w:ilvl w:val="1"/>
          <w:numId w:val="33"/>
        </w:numPr>
        <w:snapToGrid w:val="0"/>
        <w:spacing w:line="360" w:lineRule="auto"/>
        <w:rPr>
          <w:rFonts w:ascii="宋体" w:hAnsi="宋体"/>
          <w:b/>
          <w:bCs/>
          <w:szCs w:val="21"/>
        </w:rPr>
      </w:pPr>
      <w:r>
        <w:rPr>
          <w:rFonts w:hint="eastAsia"/>
        </w:rPr>
        <w:t>谈判总报价为各小计之和，</w:t>
      </w:r>
      <w:r>
        <w:rPr>
          <w:rFonts w:hint="eastAsia" w:ascii="宋体" w:hAnsi="宋体"/>
          <w:b/>
          <w:bCs/>
        </w:rPr>
        <w:t>报价的小数点后保留两位有效数</w:t>
      </w:r>
      <w:r>
        <w:rPr>
          <w:rFonts w:hint="eastAsia" w:ascii="宋体" w:hAnsi="宋体"/>
          <w:b/>
          <w:bCs/>
          <w:szCs w:val="21"/>
        </w:rPr>
        <w:t>。</w:t>
      </w:r>
    </w:p>
    <w:p>
      <w:pPr>
        <w:numPr>
          <w:ilvl w:val="1"/>
          <w:numId w:val="33"/>
        </w:numPr>
        <w:snapToGrid w:val="0"/>
        <w:spacing w:line="360" w:lineRule="auto"/>
        <w:rPr>
          <w:rFonts w:ascii="宋体" w:hAnsi="宋体"/>
          <w:bCs/>
          <w:szCs w:val="21"/>
        </w:rPr>
      </w:pPr>
      <w:r>
        <w:rPr>
          <w:rFonts w:hint="eastAsia"/>
        </w:rPr>
        <w:t>此表须附在正、副本的响应文件中。</w:t>
      </w:r>
    </w:p>
    <w:p>
      <w:pPr>
        <w:numPr>
          <w:ilvl w:val="1"/>
          <w:numId w:val="33"/>
        </w:numPr>
        <w:snapToGrid w:val="0"/>
        <w:spacing w:line="360" w:lineRule="auto"/>
        <w:rPr>
          <w:rFonts w:ascii="宋体" w:hAnsi="宋体"/>
          <w:bCs/>
          <w:szCs w:val="21"/>
        </w:rPr>
      </w:pPr>
      <w:r>
        <w:rPr>
          <w:rFonts w:hint="eastAsia" w:ascii="宋体" w:hAnsi="宋体"/>
          <w:bCs/>
          <w:szCs w:val="21"/>
        </w:rPr>
        <w:t>谈判报价要求具体见第七章“谈判报价”要求。</w:t>
      </w:r>
    </w:p>
    <w:p>
      <w:pPr>
        <w:numPr>
          <w:ilvl w:val="1"/>
          <w:numId w:val="33"/>
        </w:numPr>
        <w:snapToGrid w:val="0"/>
        <w:spacing w:line="360" w:lineRule="auto"/>
        <w:rPr>
          <w:u w:val="double"/>
        </w:rPr>
      </w:pPr>
      <w:r>
        <w:rPr>
          <w:rFonts w:hint="eastAsia"/>
          <w:u w:val="double"/>
        </w:rPr>
        <w:t>各响应供应商可自行保留一份《报价表》，以便谈判报价时参考用。</w:t>
      </w:r>
    </w:p>
    <w:p>
      <w:pPr>
        <w:numPr>
          <w:ilvl w:val="1"/>
          <w:numId w:val="33"/>
        </w:numPr>
        <w:tabs>
          <w:tab w:val="left" w:pos="426"/>
        </w:tabs>
        <w:snapToGrid w:val="0"/>
        <w:spacing w:line="360" w:lineRule="auto"/>
        <w:rPr>
          <w:rFonts w:ascii="宋体" w:hAnsi="宋体"/>
          <w:u w:val="double"/>
        </w:rPr>
      </w:pPr>
      <w:r>
        <w:rPr>
          <w:rFonts w:hint="eastAsia" w:ascii="宋体" w:hAnsi="宋体"/>
          <w:b/>
          <w:spacing w:val="6"/>
          <w:u w:val="double"/>
        </w:rPr>
        <w:t>如响应供应商提供投标产品中仅有部份小型和微型企业产品的，应在此表中予以明确并提供《中小企业声明函》，否则评审时不能享受相应的价格扣除。</w:t>
      </w:r>
    </w:p>
    <w:p>
      <w:pPr>
        <w:numPr>
          <w:ilvl w:val="1"/>
          <w:numId w:val="33"/>
        </w:numPr>
        <w:tabs>
          <w:tab w:val="left" w:pos="840"/>
        </w:tabs>
        <w:snapToGrid w:val="0"/>
        <w:spacing w:line="360" w:lineRule="auto"/>
        <w:rPr>
          <w:rFonts w:ascii="宋体" w:hAnsi="宋体"/>
        </w:rPr>
      </w:pPr>
      <w:r>
        <w:rPr>
          <w:rFonts w:hint="eastAsia" w:ascii="宋体" w:hAnsi="宋体"/>
        </w:rPr>
        <w:t>下浮率报价不得大于或等于100%，不能为负数。</w:t>
      </w:r>
    </w:p>
    <w:p>
      <w:pPr>
        <w:numPr>
          <w:ilvl w:val="1"/>
          <w:numId w:val="33"/>
        </w:numPr>
        <w:tabs>
          <w:tab w:val="left" w:pos="840"/>
        </w:tabs>
        <w:snapToGrid w:val="0"/>
        <w:spacing w:line="360" w:lineRule="auto"/>
        <w:rPr>
          <w:rFonts w:ascii="宋体" w:hAnsi="宋体"/>
        </w:rPr>
      </w:pPr>
      <w:r>
        <w:rPr>
          <w:rFonts w:hint="eastAsia" w:ascii="宋体" w:hAnsi="宋体"/>
        </w:rPr>
        <w:t>下浮率的报价均应包含国家规定的税费。</w:t>
      </w:r>
    </w:p>
    <w:p>
      <w:pPr>
        <w:numPr>
          <w:ilvl w:val="1"/>
          <w:numId w:val="33"/>
        </w:numPr>
        <w:tabs>
          <w:tab w:val="left" w:pos="426"/>
        </w:tabs>
        <w:snapToGrid w:val="0"/>
        <w:spacing w:line="360" w:lineRule="auto"/>
        <w:rPr>
          <w:rFonts w:ascii="宋体" w:hAnsi="宋体"/>
        </w:rPr>
      </w:pPr>
      <w:r>
        <w:rPr>
          <w:rFonts w:hint="eastAsia" w:ascii="宋体" w:hAnsi="宋体"/>
        </w:rPr>
        <w:t>本项目不接受有选择性的报价，每个类别只允许报一个下浮率，且所报的下浮率应当适用于该类别所有产品单品。</w:t>
      </w:r>
    </w:p>
    <w:p>
      <w:pPr>
        <w:numPr>
          <w:ilvl w:val="1"/>
          <w:numId w:val="33"/>
        </w:numPr>
        <w:tabs>
          <w:tab w:val="left" w:pos="426"/>
        </w:tabs>
        <w:snapToGrid w:val="0"/>
        <w:spacing w:line="360" w:lineRule="auto"/>
        <w:rPr>
          <w:rFonts w:ascii="宋体" w:hAnsi="宋体"/>
        </w:rPr>
      </w:pPr>
      <w:r>
        <w:rPr>
          <w:rFonts w:hint="eastAsia" w:ascii="宋体" w:hAnsi="宋体"/>
        </w:rPr>
        <w:t>本项目报价为下浮率报价【如下浮率报价为10%，则供货价:产品货款＝产品的基准价×（1-10%）×实际供货量】。</w:t>
      </w:r>
    </w:p>
    <w:p>
      <w:pPr>
        <w:pStyle w:val="3"/>
        <w:adjustRightInd w:val="0"/>
        <w:snapToGrid w:val="0"/>
        <w:spacing w:beforeLines="50" w:afterLines="50" w:line="360" w:lineRule="auto"/>
        <w:jc w:val="center"/>
        <w:rPr>
          <w:b w:val="0"/>
        </w:rPr>
      </w:pPr>
      <w:r>
        <w:rPr>
          <w:b w:val="0"/>
        </w:rPr>
        <w:br w:type="page"/>
      </w:r>
      <w:bookmarkStart w:id="30" w:name="_Toc435515315"/>
      <w:bookmarkStart w:id="31" w:name="_Toc435514875"/>
      <w:r>
        <w:rPr>
          <w:rFonts w:hint="eastAsia"/>
          <w:b w:val="0"/>
        </w:rPr>
        <w:t>（如响应供应商不属于中小企业无须提供）</w:t>
      </w:r>
    </w:p>
    <w:p>
      <w:pPr>
        <w:pStyle w:val="3"/>
        <w:adjustRightInd w:val="0"/>
        <w:snapToGrid w:val="0"/>
        <w:spacing w:beforeLines="50" w:afterLines="50" w:line="360" w:lineRule="auto"/>
        <w:jc w:val="center"/>
        <w:rPr>
          <w:b w:val="0"/>
        </w:rPr>
      </w:pPr>
      <w:r>
        <w:rPr>
          <w:rFonts w:hint="eastAsia"/>
          <w:b w:val="0"/>
        </w:rPr>
        <w:t>中小企业声明函（适用于包组）</w:t>
      </w:r>
      <w:bookmarkEnd w:id="30"/>
      <w:bookmarkEnd w:id="31"/>
    </w:p>
    <w:p>
      <w:pPr>
        <w:jc w:val="center"/>
        <w:rPr>
          <w:rFonts w:ascii="宋体" w:hAnsi="宋体"/>
          <w:b/>
          <w:szCs w:val="21"/>
        </w:rPr>
      </w:pPr>
      <w:r>
        <w:rPr>
          <w:rFonts w:hint="eastAsia" w:ascii="宋体" w:hAnsi="宋体"/>
          <w:b/>
          <w:szCs w:val="21"/>
        </w:rPr>
        <w:t>（响应供应商认为其为</w:t>
      </w:r>
      <w:r>
        <w:rPr>
          <w:rFonts w:hint="eastAsia" w:ascii="宋体" w:hAnsi="宋体"/>
          <w:b/>
        </w:rPr>
        <w:t>中小企业</w:t>
      </w:r>
      <w:r>
        <w:rPr>
          <w:rFonts w:hint="eastAsia" w:ascii="宋体" w:hAnsi="宋体"/>
          <w:b/>
          <w:szCs w:val="21"/>
        </w:rPr>
        <w:t>的应提交本函，明确企业类型</w:t>
      </w:r>
      <w:r>
        <w:rPr>
          <w:rFonts w:hint="eastAsia" w:ascii="宋体" w:hAnsi="宋体"/>
          <w:b/>
        </w:rPr>
        <w:t>，</w:t>
      </w:r>
      <w:r>
        <w:rPr>
          <w:rFonts w:hint="eastAsia" w:ascii="宋体" w:hAnsi="宋体"/>
          <w:b/>
          <w:szCs w:val="21"/>
        </w:rPr>
        <w:t>否则评审时不能享受相应的价格扣除）</w:t>
      </w:r>
    </w:p>
    <w:p>
      <w:pPr>
        <w:spacing w:line="360" w:lineRule="auto"/>
        <w:ind w:firstLine="420" w:firstLineChars="200"/>
        <w:rPr>
          <w:rFonts w:ascii="宋体" w:hAnsi="宋体"/>
        </w:rPr>
      </w:pPr>
      <w:r>
        <w:rPr>
          <w:rFonts w:hint="eastAsia" w:ascii="宋体" w:hAnsi="宋体"/>
        </w:rPr>
        <w:t>本公司郑重声明，根据《政府采购促进中小企业发展暂行办法》（财库[2011]181号）的规定，本公司为（请填写：中型、小型、微型）企业。即，本公司同时满足以下条件：</w:t>
      </w:r>
    </w:p>
    <w:p>
      <w:pPr>
        <w:spacing w:line="360" w:lineRule="auto"/>
        <w:ind w:left="315" w:hanging="315" w:hangingChars="150"/>
        <w:rPr>
          <w:rFonts w:ascii="宋体" w:hAnsi="宋体"/>
        </w:rPr>
      </w:pPr>
      <w:r>
        <w:rPr>
          <w:rFonts w:hint="eastAsia" w:ascii="宋体" w:hAnsi="宋体"/>
        </w:rPr>
        <w:t>1、根据《工业和信息化部、国家统计局、国家发展和改革委员会、财政部关于印发中小企业划型标准规定的通知》（工信部联企业[2011]300号）规定的划分标准，本公司为（请填写：中型、小型、微型）企业。</w:t>
      </w:r>
    </w:p>
    <w:p>
      <w:pPr>
        <w:spacing w:line="360" w:lineRule="auto"/>
        <w:ind w:left="315" w:hanging="315" w:hangingChars="150"/>
        <w:rPr>
          <w:rFonts w:ascii="宋体" w:hAnsi="宋体"/>
        </w:rPr>
      </w:pPr>
      <w:r>
        <w:rPr>
          <w:rFonts w:hint="eastAsia" w:ascii="宋体" w:hAnsi="宋体"/>
        </w:rPr>
        <w:t>2、本公司参加</w:t>
      </w:r>
      <w:r>
        <w:rPr>
          <w:rFonts w:hint="eastAsia" w:ascii="宋体" w:hAnsi="宋体"/>
          <w:u w:val="single"/>
        </w:rPr>
        <w:t xml:space="preserve">     (采购人单位名称)    </w:t>
      </w:r>
      <w:r>
        <w:rPr>
          <w:rFonts w:hint="eastAsia" w:ascii="宋体" w:hAnsi="宋体"/>
        </w:rPr>
        <w:t>的</w:t>
      </w:r>
      <w:r>
        <w:rPr>
          <w:rFonts w:hint="eastAsia" w:ascii="宋体" w:hAnsi="宋体"/>
          <w:u w:val="single"/>
        </w:rPr>
        <w:t xml:space="preserve">   (项目名称)      </w:t>
      </w:r>
      <w:r>
        <w:rPr>
          <w:rFonts w:hint="eastAsia" w:ascii="宋体" w:hAnsi="宋体"/>
        </w:rPr>
        <w:t xml:space="preserve"> 采购活动提供本企业制造的货物，由本企业承担工程、提供服务，或者提供其他（请填写：中型、小型、微型）企业制造的货物。本条所称货物不包括使用大型企业注册商标的货物。</w:t>
      </w:r>
    </w:p>
    <w:p>
      <w:pPr>
        <w:spacing w:line="360" w:lineRule="auto"/>
        <w:ind w:firstLine="420" w:firstLineChars="200"/>
        <w:rPr>
          <w:rFonts w:ascii="宋体" w:hAnsi="宋体"/>
        </w:rPr>
      </w:pPr>
      <w:r>
        <w:rPr>
          <w:rFonts w:hint="eastAsia" w:ascii="宋体" w:hAnsi="宋体"/>
        </w:rPr>
        <w:t>本公司对上述声明的真实性负责。如有虚假，将依法承担相应责任。</w:t>
      </w:r>
    </w:p>
    <w:p>
      <w:pPr>
        <w:spacing w:line="360" w:lineRule="auto"/>
        <w:ind w:firstLine="420" w:firstLineChars="200"/>
        <w:jc w:val="center"/>
        <w:rPr>
          <w:rFonts w:ascii="宋体" w:hAnsi="宋体"/>
        </w:rPr>
      </w:pPr>
    </w:p>
    <w:p>
      <w:pPr>
        <w:spacing w:line="360" w:lineRule="auto"/>
        <w:ind w:firstLine="420" w:firstLineChars="200"/>
        <w:jc w:val="center"/>
        <w:rPr>
          <w:rFonts w:ascii="宋体" w:hAnsi="宋体"/>
        </w:rPr>
      </w:pPr>
      <w:r>
        <w:rPr>
          <w:rFonts w:hint="eastAsia" w:ascii="宋体" w:hAnsi="宋体"/>
        </w:rPr>
        <w:t xml:space="preserve">                              响应供应商名称（单位盖</w:t>
      </w:r>
      <w:r>
        <w:rPr>
          <w:rFonts w:hint="eastAsia"/>
          <w:spacing w:val="4"/>
        </w:rPr>
        <w:t>公章</w:t>
      </w:r>
      <w:r>
        <w:rPr>
          <w:rFonts w:hint="eastAsia" w:ascii="宋体" w:hAnsi="宋体"/>
        </w:rPr>
        <w:t>）：</w:t>
      </w:r>
    </w:p>
    <w:p>
      <w:pPr>
        <w:spacing w:line="360" w:lineRule="auto"/>
        <w:ind w:firstLine="420" w:firstLineChars="200"/>
        <w:jc w:val="center"/>
        <w:rPr>
          <w:rFonts w:ascii="宋体" w:hAnsi="宋体"/>
        </w:rPr>
      </w:pPr>
      <w:r>
        <w:rPr>
          <w:rFonts w:hint="eastAsia" w:ascii="宋体" w:hAnsi="宋体"/>
        </w:rPr>
        <w:t xml:space="preserve">                  日 期：</w:t>
      </w:r>
    </w:p>
    <w:p>
      <w:pPr>
        <w:spacing w:line="360" w:lineRule="auto"/>
        <w:ind w:firstLine="444" w:firstLineChars="200"/>
        <w:jc w:val="left"/>
        <w:rPr>
          <w:rFonts w:ascii="宋体" w:hAnsi="宋体"/>
        </w:rPr>
      </w:pPr>
      <w:r>
        <w:rPr>
          <w:rFonts w:hint="eastAsia" w:ascii="宋体" w:hAnsi="宋体"/>
          <w:spacing w:val="6"/>
          <w:szCs w:val="21"/>
        </w:rPr>
        <w:t>注:如响应供应商提供的货物中有其他小型或微型企业生产的货物时，请将货物制造商的《中小企业声明函》一并提供，否则该部分货物视为不符合价格扣除条件。</w:t>
      </w:r>
    </w:p>
    <w:p>
      <w:pPr>
        <w:spacing w:line="360" w:lineRule="auto"/>
        <w:ind w:firstLine="420" w:firstLineChars="200"/>
        <w:rPr>
          <w:rFonts w:ascii="宋体" w:hAnsi="宋体"/>
        </w:rPr>
      </w:pPr>
    </w:p>
    <w:p>
      <w:pPr>
        <w:pStyle w:val="3"/>
        <w:adjustRightInd w:val="0"/>
        <w:snapToGrid w:val="0"/>
        <w:spacing w:beforeLines="50" w:afterLines="50" w:line="360" w:lineRule="auto"/>
        <w:jc w:val="center"/>
        <w:rPr>
          <w:rFonts w:ascii="宋体" w:hAnsi="宋体"/>
        </w:rPr>
      </w:pPr>
      <w:r>
        <w:rPr>
          <w:rFonts w:ascii="宋体" w:hAnsi="宋体"/>
        </w:rPr>
        <w:br w:type="page"/>
      </w:r>
      <w:r>
        <w:rPr>
          <w:rFonts w:hint="eastAsia"/>
          <w:b w:val="0"/>
        </w:rPr>
        <w:t>（如响应供应商不属于监狱企业无须提供）</w:t>
      </w:r>
    </w:p>
    <w:p>
      <w:pPr>
        <w:pStyle w:val="3"/>
        <w:adjustRightInd w:val="0"/>
        <w:snapToGrid w:val="0"/>
        <w:spacing w:beforeLines="50" w:afterLines="50" w:line="360" w:lineRule="auto"/>
        <w:jc w:val="center"/>
        <w:rPr>
          <w:b w:val="0"/>
        </w:rPr>
      </w:pPr>
      <w:r>
        <w:rPr>
          <w:rFonts w:hint="eastAsia"/>
          <w:b w:val="0"/>
        </w:rPr>
        <w:t>监狱企业的证明文件</w:t>
      </w:r>
    </w:p>
    <w:p>
      <w:pPr>
        <w:spacing w:line="440" w:lineRule="exact"/>
      </w:pPr>
      <w:r>
        <w:rPr>
          <w:rFonts w:hint="eastAsia"/>
        </w:rPr>
        <w:t>说明：监狱企业参加政府采购活动时，应当提供由省级以上监狱管理局、戒毒管理局（含新疆生产建设兵团）出具的属于监狱企业的证明文件，并加盖响应供应商单位公章。</w:t>
      </w:r>
    </w:p>
    <w:p>
      <w:pPr>
        <w:spacing w:line="440" w:lineRule="exact"/>
      </w:pPr>
    </w:p>
    <w:p>
      <w:pPr>
        <w:spacing w:line="440" w:lineRule="exact"/>
      </w:pPr>
    </w:p>
    <w:p>
      <w:pPr>
        <w:spacing w:line="440" w:lineRule="exact"/>
        <w:rPr>
          <w:u w:val="single"/>
        </w:rPr>
      </w:pPr>
    </w:p>
    <w:p>
      <w:pPr>
        <w:pStyle w:val="3"/>
        <w:adjustRightInd w:val="0"/>
        <w:snapToGrid w:val="0"/>
        <w:spacing w:beforeLines="50" w:afterLines="50" w:line="360" w:lineRule="auto"/>
        <w:jc w:val="center"/>
        <w:rPr>
          <w:rFonts w:ascii="宋体" w:hAnsi="宋体"/>
        </w:rPr>
      </w:pPr>
      <w:r>
        <w:rPr>
          <w:rFonts w:hint="eastAsia"/>
          <w:b w:val="0"/>
        </w:rPr>
        <w:t>（如响应供应商不属于残疾人福利单位无须提供）</w:t>
      </w:r>
    </w:p>
    <w:p>
      <w:pPr>
        <w:pStyle w:val="3"/>
        <w:adjustRightInd w:val="0"/>
        <w:snapToGrid w:val="0"/>
        <w:spacing w:beforeLines="50" w:afterLines="50" w:line="360" w:lineRule="auto"/>
        <w:jc w:val="center"/>
        <w:rPr>
          <w:b w:val="0"/>
        </w:rPr>
      </w:pPr>
      <w:bookmarkStart w:id="32" w:name="OLE_LINK14"/>
      <w:bookmarkStart w:id="33" w:name="OLE_LINK13"/>
      <w:r>
        <w:rPr>
          <w:rFonts w:hint="eastAsia"/>
          <w:b w:val="0"/>
        </w:rPr>
        <w:t>残疾人福利性单位声明函</w:t>
      </w:r>
    </w:p>
    <w:bookmarkEnd w:id="32"/>
    <w:bookmarkEnd w:id="33"/>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 141</w:t>
      </w:r>
      <w:r>
        <w:rPr>
          <w:rFonts w:hint="eastAsia"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单位名称（盖章）：</w:t>
      </w: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日  期：</w:t>
      </w:r>
    </w:p>
    <w:p>
      <w:pPr>
        <w:spacing w:line="360" w:lineRule="auto"/>
        <w:ind w:firstLine="420" w:firstLineChars="200"/>
        <w:rPr>
          <w:rFonts w:ascii="宋体" w:hAnsi="宋体"/>
        </w:rPr>
      </w:pPr>
    </w:p>
    <w:p>
      <w:pPr>
        <w:spacing w:line="440" w:lineRule="exact"/>
        <w:jc w:val="center"/>
        <w:rPr>
          <w:b/>
          <w:kern w:val="0"/>
          <w:sz w:val="28"/>
          <w:szCs w:val="28"/>
        </w:rPr>
      </w:pPr>
      <w:r>
        <w:rPr>
          <w:b/>
          <w:kern w:val="0"/>
          <w:sz w:val="28"/>
          <w:szCs w:val="28"/>
        </w:rPr>
        <w:br w:type="page"/>
      </w:r>
      <w:r>
        <w:rPr>
          <w:rFonts w:hint="eastAsia"/>
          <w:b/>
          <w:sz w:val="28"/>
          <w:szCs w:val="28"/>
        </w:rPr>
        <w:t>用户需求</w:t>
      </w:r>
      <w:r>
        <w:rPr>
          <w:rFonts w:hint="eastAsia"/>
          <w:b/>
          <w:kern w:val="0"/>
          <w:sz w:val="28"/>
          <w:szCs w:val="28"/>
        </w:rPr>
        <w:t>响应一览表</w:t>
      </w:r>
    </w:p>
    <w:p>
      <w:pPr>
        <w:spacing w:line="400" w:lineRule="exact"/>
        <w:rPr>
          <w:rFonts w:ascii="宋体" w:hAnsi="宋体"/>
        </w:rPr>
      </w:pPr>
      <w:r>
        <w:rPr>
          <w:rFonts w:hint="eastAsia" w:ascii="宋体" w:hAnsi="宋体"/>
        </w:rPr>
        <w:t>说明：响应供应商必须对应谈判文件用户需求书的条款逐条应答并按要求填写下表。</w:t>
      </w:r>
    </w:p>
    <w:p>
      <w:pPr>
        <w:widowControl/>
        <w:wordWrap w:val="0"/>
        <w:spacing w:line="360" w:lineRule="auto"/>
        <w:jc w:val="left"/>
        <w:rPr>
          <w:rFonts w:ascii="宋体" w:hAnsi="宋体"/>
        </w:rPr>
      </w:pPr>
      <w:r>
        <w:rPr>
          <w:rFonts w:hint="eastAsia" w:ascii="宋体" w:hAnsi="宋体"/>
        </w:rPr>
        <w:t>响应供应商名称：                               包组号：      项目编号：CLF0119SZ14QY80</w:t>
      </w:r>
      <w:r>
        <w:rPr>
          <w:rFonts w:ascii="ˎ̥" w:hAnsi="ˎ̥" w:cs="宋体"/>
          <w:kern w:val="0"/>
          <w:sz w:val="18"/>
          <w:szCs w:val="18"/>
        </w:rPr>
        <w:t> </w:t>
      </w:r>
    </w:p>
    <w:tbl>
      <w:tblPr>
        <w:tblStyle w:val="30"/>
        <w:tblW w:w="95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4"/>
        <w:gridCol w:w="2458"/>
        <w:gridCol w:w="2551"/>
        <w:gridCol w:w="2174"/>
        <w:gridCol w:w="1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614"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序号</w:t>
            </w:r>
          </w:p>
        </w:tc>
        <w:tc>
          <w:tcPr>
            <w:tcW w:w="2458"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谈判文件条款描述</w:t>
            </w:r>
          </w:p>
        </w:tc>
        <w:tc>
          <w:tcPr>
            <w:tcW w:w="2551"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响应供应商响应描述</w:t>
            </w:r>
          </w:p>
          <w:p>
            <w:pPr>
              <w:adjustRightInd w:val="0"/>
              <w:snapToGrid w:val="0"/>
              <w:ind w:left="-71" w:leftChars="-34" w:right="-73" w:rightChars="-35"/>
              <w:jc w:val="center"/>
              <w:rPr>
                <w:rFonts w:ascii="宋体" w:hAnsi="宋体"/>
              </w:rPr>
            </w:pPr>
            <w:r>
              <w:rPr>
                <w:rFonts w:hint="eastAsia" w:ascii="宋体" w:hAnsi="宋体"/>
                <w:b/>
                <w:bCs/>
                <w:szCs w:val="21"/>
              </w:rPr>
              <w:t>(响应供应商应按响应货物/服务实际数据填写，不能照抄要求)</w:t>
            </w:r>
          </w:p>
        </w:tc>
        <w:tc>
          <w:tcPr>
            <w:tcW w:w="2174"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偏离情况说明</w:t>
            </w:r>
          </w:p>
          <w:p>
            <w:pPr>
              <w:adjustRightInd w:val="0"/>
              <w:snapToGrid w:val="0"/>
              <w:jc w:val="center"/>
              <w:rPr>
                <w:rFonts w:ascii="宋体" w:hAnsi="宋体"/>
                <w:b/>
              </w:rPr>
            </w:pPr>
            <w:r>
              <w:rPr>
                <w:rFonts w:hint="eastAsia" w:ascii="宋体" w:hAnsi="宋体"/>
                <w:b/>
              </w:rPr>
              <w:t>（</w:t>
            </w:r>
            <w:r>
              <w:rPr>
                <w:rFonts w:hint="eastAsia"/>
                <w:b/>
              </w:rPr>
              <w:t>正偏离/完全响应/负偏离</w:t>
            </w:r>
            <w:r>
              <w:rPr>
                <w:rFonts w:hint="eastAsia" w:ascii="宋体" w:hAnsi="宋体"/>
                <w:b/>
              </w:rPr>
              <w:t>）</w:t>
            </w:r>
          </w:p>
        </w:tc>
        <w:tc>
          <w:tcPr>
            <w:tcW w:w="1747"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查阅/文件指引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9544" w:type="dxa"/>
            <w:gridSpan w:val="5"/>
            <w:vAlign w:val="center"/>
          </w:tcPr>
          <w:p>
            <w:pPr>
              <w:spacing w:line="400" w:lineRule="exact"/>
              <w:jc w:val="center"/>
              <w:rPr>
                <w:rFonts w:ascii="宋体" w:hAnsi="宋体"/>
              </w:rPr>
            </w:pPr>
            <w:r>
              <w:rPr>
                <w:rFonts w:hint="eastAsia"/>
                <w:b/>
              </w:rPr>
              <w:t>带“▲”的重要</w:t>
            </w:r>
            <w:r>
              <w:rPr>
                <w:rFonts w:hint="eastAsia" w:ascii="宋体" w:hAnsi="宋体"/>
                <w:b/>
              </w:rPr>
              <w:t>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14" w:type="dxa"/>
            <w:vAlign w:val="center"/>
          </w:tcPr>
          <w:p>
            <w:pPr>
              <w:numPr>
                <w:ilvl w:val="0"/>
                <w:numId w:val="34"/>
              </w:numPr>
              <w:jc w:val="center"/>
              <w:rPr>
                <w:rFonts w:ascii="宋体" w:hAnsi="宋体"/>
                <w:szCs w:val="21"/>
              </w:rPr>
            </w:pPr>
          </w:p>
        </w:tc>
        <w:tc>
          <w:tcPr>
            <w:tcW w:w="2458" w:type="dxa"/>
            <w:vAlign w:val="center"/>
          </w:tcPr>
          <w:p>
            <w:pPr>
              <w:spacing w:line="400" w:lineRule="exact"/>
              <w:jc w:val="center"/>
              <w:rPr>
                <w:rFonts w:ascii="宋体" w:hAnsi="宋体"/>
              </w:rPr>
            </w:pPr>
          </w:p>
        </w:tc>
        <w:tc>
          <w:tcPr>
            <w:tcW w:w="2551" w:type="dxa"/>
            <w:vAlign w:val="center"/>
          </w:tcPr>
          <w:p>
            <w:pPr>
              <w:spacing w:line="400" w:lineRule="exact"/>
              <w:jc w:val="center"/>
              <w:rPr>
                <w:rFonts w:ascii="宋体" w:hAnsi="宋体"/>
              </w:rPr>
            </w:pPr>
          </w:p>
        </w:tc>
        <w:tc>
          <w:tcPr>
            <w:tcW w:w="2174" w:type="dxa"/>
            <w:vAlign w:val="center"/>
          </w:tcPr>
          <w:p>
            <w:pPr>
              <w:spacing w:line="400" w:lineRule="exact"/>
              <w:jc w:val="center"/>
              <w:rPr>
                <w:rFonts w:ascii="宋体" w:hAnsi="宋体"/>
              </w:rPr>
            </w:pPr>
          </w:p>
        </w:tc>
        <w:tc>
          <w:tcPr>
            <w:tcW w:w="1747" w:type="dxa"/>
            <w:vAlign w:val="center"/>
          </w:tcPr>
          <w:p>
            <w:pPr>
              <w:spacing w:line="400" w:lineRule="exact"/>
              <w:jc w:val="center"/>
              <w:rPr>
                <w:rFonts w:ascii="宋体" w:hAnsi="宋体"/>
              </w:rPr>
            </w:pPr>
            <w:r>
              <w:rPr>
                <w:rFonts w:hint="eastAsia" w:ascii="宋体" w:hAnsi="宋体" w:cs="宋体"/>
                <w:szCs w:val="21"/>
              </w:rPr>
              <w:t>见《响应文件》第页至页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14" w:type="dxa"/>
            <w:vAlign w:val="center"/>
          </w:tcPr>
          <w:p>
            <w:pPr>
              <w:numPr>
                <w:ilvl w:val="0"/>
                <w:numId w:val="34"/>
              </w:numPr>
              <w:jc w:val="center"/>
              <w:rPr>
                <w:rFonts w:ascii="宋体" w:hAnsi="宋体"/>
                <w:szCs w:val="21"/>
              </w:rPr>
            </w:pPr>
          </w:p>
        </w:tc>
        <w:tc>
          <w:tcPr>
            <w:tcW w:w="2458" w:type="dxa"/>
            <w:vAlign w:val="center"/>
          </w:tcPr>
          <w:p>
            <w:pPr>
              <w:spacing w:line="400" w:lineRule="exact"/>
              <w:jc w:val="center"/>
              <w:rPr>
                <w:rFonts w:ascii="宋体" w:hAnsi="宋体"/>
              </w:rPr>
            </w:pPr>
          </w:p>
        </w:tc>
        <w:tc>
          <w:tcPr>
            <w:tcW w:w="2551" w:type="dxa"/>
            <w:vAlign w:val="center"/>
          </w:tcPr>
          <w:p>
            <w:pPr>
              <w:spacing w:line="400" w:lineRule="exact"/>
              <w:jc w:val="center"/>
              <w:rPr>
                <w:rFonts w:ascii="宋体" w:hAnsi="宋体"/>
              </w:rPr>
            </w:pPr>
          </w:p>
        </w:tc>
        <w:tc>
          <w:tcPr>
            <w:tcW w:w="2174" w:type="dxa"/>
            <w:vAlign w:val="center"/>
          </w:tcPr>
          <w:p>
            <w:pPr>
              <w:spacing w:line="400" w:lineRule="exact"/>
              <w:jc w:val="center"/>
              <w:rPr>
                <w:rFonts w:ascii="宋体" w:hAnsi="宋体"/>
              </w:rPr>
            </w:pPr>
          </w:p>
        </w:tc>
        <w:tc>
          <w:tcPr>
            <w:tcW w:w="1747" w:type="dxa"/>
            <w:vAlign w:val="center"/>
          </w:tcPr>
          <w:p>
            <w:pPr>
              <w:spacing w:line="400" w:lineRule="exact"/>
              <w:jc w:val="center"/>
              <w:rPr>
                <w:rFonts w:ascii="宋体" w:hAnsi="宋体"/>
              </w:rPr>
            </w:pPr>
            <w:r>
              <w:rPr>
                <w:rFonts w:hint="eastAsia" w:ascii="宋体" w:hAnsi="宋体" w:cs="宋体"/>
                <w:szCs w:val="21"/>
              </w:rPr>
              <w:t>见《响应文件》第页至页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14" w:type="dxa"/>
            <w:vAlign w:val="center"/>
          </w:tcPr>
          <w:p>
            <w:pPr>
              <w:numPr>
                <w:ilvl w:val="0"/>
                <w:numId w:val="34"/>
              </w:numPr>
              <w:jc w:val="center"/>
              <w:rPr>
                <w:rFonts w:ascii="宋体" w:hAnsi="宋体"/>
                <w:szCs w:val="21"/>
              </w:rPr>
            </w:pPr>
          </w:p>
        </w:tc>
        <w:tc>
          <w:tcPr>
            <w:tcW w:w="2458" w:type="dxa"/>
            <w:vAlign w:val="center"/>
          </w:tcPr>
          <w:p>
            <w:pPr>
              <w:spacing w:line="400" w:lineRule="exact"/>
              <w:jc w:val="center"/>
              <w:rPr>
                <w:rFonts w:ascii="宋体" w:hAnsi="宋体"/>
              </w:rPr>
            </w:pPr>
          </w:p>
        </w:tc>
        <w:tc>
          <w:tcPr>
            <w:tcW w:w="2551" w:type="dxa"/>
            <w:vAlign w:val="center"/>
          </w:tcPr>
          <w:p>
            <w:pPr>
              <w:spacing w:line="400" w:lineRule="exact"/>
              <w:jc w:val="center"/>
              <w:rPr>
                <w:rFonts w:ascii="宋体" w:hAnsi="宋体"/>
              </w:rPr>
            </w:pPr>
          </w:p>
        </w:tc>
        <w:tc>
          <w:tcPr>
            <w:tcW w:w="2174" w:type="dxa"/>
            <w:vAlign w:val="center"/>
          </w:tcPr>
          <w:p>
            <w:pPr>
              <w:spacing w:line="400" w:lineRule="exact"/>
              <w:jc w:val="center"/>
              <w:rPr>
                <w:rFonts w:ascii="宋体" w:hAnsi="宋体"/>
              </w:rPr>
            </w:pPr>
          </w:p>
        </w:tc>
        <w:tc>
          <w:tcPr>
            <w:tcW w:w="1747" w:type="dxa"/>
            <w:vAlign w:val="center"/>
          </w:tcPr>
          <w:p>
            <w:pPr>
              <w:spacing w:line="400" w:lineRule="exact"/>
              <w:jc w:val="center"/>
              <w:rPr>
                <w:rFonts w:ascii="宋体" w:hAnsi="宋体" w:cs="宋体"/>
                <w:szCs w:val="21"/>
              </w:rPr>
            </w:pPr>
            <w:r>
              <w:rPr>
                <w:rFonts w:hint="eastAsia" w:ascii="宋体" w:hAnsi="宋体" w:cs="宋体"/>
              </w:rPr>
              <w:t>见《响应文件》第页至页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9544" w:type="dxa"/>
            <w:gridSpan w:val="5"/>
            <w:vAlign w:val="center"/>
          </w:tcPr>
          <w:p>
            <w:pPr>
              <w:spacing w:line="400" w:lineRule="exact"/>
              <w:jc w:val="center"/>
              <w:rPr>
                <w:rFonts w:ascii="宋体" w:hAnsi="宋体"/>
              </w:rPr>
            </w:pPr>
            <w:r>
              <w:rPr>
                <w:rFonts w:hint="eastAsia" w:ascii="宋体" w:hAnsi="宋体"/>
                <w:b/>
              </w:rPr>
              <w:t>其他一般条款（除带</w:t>
            </w:r>
            <w:r>
              <w:rPr>
                <w:rFonts w:hint="eastAsia"/>
                <w:b/>
              </w:rPr>
              <w:t>“</w:t>
            </w:r>
            <w:r>
              <w:rPr>
                <w:rFonts w:hint="eastAsia" w:ascii="宋体"/>
                <w:b/>
                <w:bCs/>
              </w:rPr>
              <w:t>★</w:t>
            </w:r>
            <w:r>
              <w:rPr>
                <w:rFonts w:hint="eastAsia"/>
                <w:b/>
              </w:rPr>
              <w:t>”和“▲”之外的条款</w:t>
            </w:r>
            <w:r>
              <w:rPr>
                <w:rFonts w:hint="eastAsia" w:ascii="宋体" w:hAnsi="宋体"/>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14" w:type="dxa"/>
            <w:vAlign w:val="center"/>
          </w:tcPr>
          <w:p>
            <w:pPr>
              <w:numPr>
                <w:ilvl w:val="0"/>
                <w:numId w:val="35"/>
              </w:numPr>
              <w:jc w:val="center"/>
              <w:rPr>
                <w:rFonts w:ascii="宋体" w:hAnsi="宋体"/>
                <w:szCs w:val="21"/>
              </w:rPr>
            </w:pPr>
          </w:p>
        </w:tc>
        <w:tc>
          <w:tcPr>
            <w:tcW w:w="2458" w:type="dxa"/>
            <w:vAlign w:val="center"/>
          </w:tcPr>
          <w:p>
            <w:pPr>
              <w:spacing w:line="400" w:lineRule="exact"/>
              <w:jc w:val="center"/>
              <w:rPr>
                <w:rFonts w:ascii="宋体" w:hAnsi="宋体"/>
              </w:rPr>
            </w:pPr>
          </w:p>
        </w:tc>
        <w:tc>
          <w:tcPr>
            <w:tcW w:w="2551" w:type="dxa"/>
            <w:vAlign w:val="center"/>
          </w:tcPr>
          <w:p>
            <w:pPr>
              <w:spacing w:line="400" w:lineRule="exact"/>
              <w:jc w:val="center"/>
              <w:rPr>
                <w:rFonts w:ascii="宋体" w:hAnsi="宋体"/>
              </w:rPr>
            </w:pPr>
          </w:p>
        </w:tc>
        <w:tc>
          <w:tcPr>
            <w:tcW w:w="2174" w:type="dxa"/>
            <w:vAlign w:val="center"/>
          </w:tcPr>
          <w:p>
            <w:pPr>
              <w:spacing w:line="400" w:lineRule="exact"/>
              <w:jc w:val="center"/>
              <w:rPr>
                <w:rFonts w:ascii="宋体" w:hAnsi="宋体"/>
              </w:rPr>
            </w:pPr>
          </w:p>
        </w:tc>
        <w:tc>
          <w:tcPr>
            <w:tcW w:w="1747" w:type="dxa"/>
            <w:vAlign w:val="center"/>
          </w:tcPr>
          <w:p>
            <w:pPr>
              <w:spacing w:line="400" w:lineRule="exact"/>
              <w:jc w:val="center"/>
              <w:rPr>
                <w:rFonts w:ascii="宋体" w:hAnsi="宋体"/>
              </w:rPr>
            </w:pPr>
            <w:r>
              <w:rPr>
                <w:rFonts w:hint="eastAsia" w:ascii="宋体" w:hAnsi="宋体" w:cs="宋体"/>
                <w:szCs w:val="21"/>
              </w:rPr>
              <w:t>见《响应文件》第页至页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14" w:type="dxa"/>
            <w:vAlign w:val="center"/>
          </w:tcPr>
          <w:p>
            <w:pPr>
              <w:numPr>
                <w:ilvl w:val="0"/>
                <w:numId w:val="35"/>
              </w:numPr>
              <w:jc w:val="center"/>
              <w:rPr>
                <w:rFonts w:ascii="宋体" w:hAnsi="宋体"/>
                <w:szCs w:val="21"/>
              </w:rPr>
            </w:pPr>
          </w:p>
        </w:tc>
        <w:tc>
          <w:tcPr>
            <w:tcW w:w="2458" w:type="dxa"/>
            <w:vAlign w:val="center"/>
          </w:tcPr>
          <w:p>
            <w:pPr>
              <w:spacing w:line="400" w:lineRule="exact"/>
              <w:jc w:val="center"/>
              <w:rPr>
                <w:rFonts w:ascii="宋体" w:hAnsi="宋体"/>
              </w:rPr>
            </w:pPr>
          </w:p>
        </w:tc>
        <w:tc>
          <w:tcPr>
            <w:tcW w:w="2551" w:type="dxa"/>
            <w:vAlign w:val="center"/>
          </w:tcPr>
          <w:p>
            <w:pPr>
              <w:spacing w:line="400" w:lineRule="exact"/>
              <w:jc w:val="center"/>
              <w:rPr>
                <w:rFonts w:ascii="宋体" w:hAnsi="宋体"/>
              </w:rPr>
            </w:pPr>
          </w:p>
        </w:tc>
        <w:tc>
          <w:tcPr>
            <w:tcW w:w="2174" w:type="dxa"/>
            <w:vAlign w:val="center"/>
          </w:tcPr>
          <w:p>
            <w:pPr>
              <w:spacing w:line="400" w:lineRule="exact"/>
              <w:jc w:val="center"/>
              <w:rPr>
                <w:rFonts w:ascii="宋体" w:hAnsi="宋体"/>
              </w:rPr>
            </w:pPr>
          </w:p>
        </w:tc>
        <w:tc>
          <w:tcPr>
            <w:tcW w:w="1747" w:type="dxa"/>
            <w:vAlign w:val="center"/>
          </w:tcPr>
          <w:p>
            <w:pPr>
              <w:spacing w:line="400" w:lineRule="exact"/>
              <w:jc w:val="center"/>
              <w:rPr>
                <w:rFonts w:ascii="宋体" w:hAnsi="宋体"/>
              </w:rPr>
            </w:pPr>
            <w:r>
              <w:rPr>
                <w:rFonts w:hint="eastAsia" w:ascii="宋体" w:hAnsi="宋体" w:cs="宋体"/>
                <w:szCs w:val="21"/>
              </w:rPr>
              <w:t>见《响应文件》第页至页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14" w:type="dxa"/>
            <w:vAlign w:val="center"/>
          </w:tcPr>
          <w:p>
            <w:pPr>
              <w:numPr>
                <w:ilvl w:val="0"/>
                <w:numId w:val="35"/>
              </w:numPr>
              <w:jc w:val="center"/>
              <w:rPr>
                <w:rFonts w:ascii="宋体" w:hAnsi="宋体"/>
                <w:szCs w:val="21"/>
              </w:rPr>
            </w:pPr>
          </w:p>
        </w:tc>
        <w:tc>
          <w:tcPr>
            <w:tcW w:w="2458" w:type="dxa"/>
            <w:vAlign w:val="center"/>
          </w:tcPr>
          <w:p>
            <w:pPr>
              <w:spacing w:line="400" w:lineRule="exact"/>
              <w:jc w:val="center"/>
              <w:rPr>
                <w:rFonts w:ascii="宋体" w:hAnsi="宋体"/>
              </w:rPr>
            </w:pPr>
          </w:p>
        </w:tc>
        <w:tc>
          <w:tcPr>
            <w:tcW w:w="2551" w:type="dxa"/>
            <w:vAlign w:val="center"/>
          </w:tcPr>
          <w:p>
            <w:pPr>
              <w:spacing w:line="400" w:lineRule="exact"/>
              <w:jc w:val="center"/>
              <w:rPr>
                <w:rFonts w:ascii="宋体" w:hAnsi="宋体"/>
              </w:rPr>
            </w:pPr>
          </w:p>
        </w:tc>
        <w:tc>
          <w:tcPr>
            <w:tcW w:w="2174" w:type="dxa"/>
            <w:vAlign w:val="center"/>
          </w:tcPr>
          <w:p>
            <w:pPr>
              <w:spacing w:line="400" w:lineRule="exact"/>
              <w:jc w:val="center"/>
              <w:rPr>
                <w:rFonts w:ascii="宋体" w:hAnsi="宋体"/>
              </w:rPr>
            </w:pPr>
          </w:p>
        </w:tc>
        <w:tc>
          <w:tcPr>
            <w:tcW w:w="1747" w:type="dxa"/>
            <w:vAlign w:val="center"/>
          </w:tcPr>
          <w:p>
            <w:pPr>
              <w:spacing w:line="400" w:lineRule="exact"/>
              <w:jc w:val="center"/>
              <w:rPr>
                <w:rFonts w:ascii="宋体" w:hAnsi="宋体" w:cs="宋体"/>
                <w:szCs w:val="21"/>
              </w:rPr>
            </w:pPr>
            <w:r>
              <w:rPr>
                <w:rFonts w:hint="eastAsia" w:ascii="宋体" w:hAnsi="宋体" w:cs="宋体"/>
              </w:rPr>
              <w:t>见《响应文件》第页至页</w:t>
            </w:r>
          </w:p>
        </w:tc>
      </w:tr>
    </w:tbl>
    <w:p>
      <w:pPr>
        <w:spacing w:line="360" w:lineRule="auto"/>
        <w:ind w:right="84" w:rightChars="40"/>
        <w:rPr>
          <w:rFonts w:ascii="宋体" w:hAnsi="宋体"/>
          <w:szCs w:val="21"/>
        </w:rPr>
      </w:pPr>
      <w:r>
        <w:rPr>
          <w:rFonts w:hint="eastAsia" w:ascii="宋体" w:hAnsi="宋体"/>
          <w:szCs w:val="21"/>
        </w:rPr>
        <w:t>备注：</w:t>
      </w:r>
    </w:p>
    <w:p>
      <w:pPr>
        <w:numPr>
          <w:ilvl w:val="0"/>
          <w:numId w:val="36"/>
        </w:numPr>
        <w:adjustRightInd w:val="0"/>
        <w:snapToGrid w:val="0"/>
        <w:spacing w:line="460" w:lineRule="exact"/>
        <w:ind w:right="84" w:rightChars="40"/>
        <w:rPr>
          <w:rFonts w:ascii="宋体" w:hAnsi="宋体"/>
          <w:szCs w:val="21"/>
        </w:rPr>
      </w:pPr>
      <w:r>
        <w:rPr>
          <w:rFonts w:hint="eastAsia" w:ascii="宋体" w:hAnsi="宋体"/>
        </w:rPr>
        <w:t>本表的货物名称及规格型号须与《报价表》一致，</w:t>
      </w:r>
      <w:r>
        <w:rPr>
          <w:rFonts w:hint="eastAsia" w:ascii="宋体" w:hAnsi="宋体"/>
          <w:szCs w:val="21"/>
        </w:rPr>
        <w:t>“谈判文件条款描述”的条款与用户需求中的条款描述不一致的，以用户需求中规定的为准。</w:t>
      </w:r>
    </w:p>
    <w:p>
      <w:pPr>
        <w:numPr>
          <w:ilvl w:val="0"/>
          <w:numId w:val="36"/>
        </w:numPr>
        <w:spacing w:line="360" w:lineRule="auto"/>
        <w:ind w:right="84" w:rightChars="40"/>
        <w:rPr>
          <w:rFonts w:ascii="宋体" w:hAnsi="宋体"/>
        </w:rPr>
      </w:pPr>
      <w:r>
        <w:rPr>
          <w:rFonts w:hint="eastAsia" w:ascii="宋体" w:hAnsi="宋体"/>
        </w:rPr>
        <w:t>响应供应商必须按谈判文件要求提交相关文件，如有任何一条未响应或不满足的视为负偏离。</w:t>
      </w:r>
    </w:p>
    <w:p>
      <w:pPr>
        <w:spacing w:line="500" w:lineRule="exact"/>
        <w:ind w:firstLine="436" w:firstLineChars="200"/>
        <w:rPr>
          <w:rFonts w:ascii="宋体" w:hAnsi="宋体"/>
          <w:u w:val="single"/>
        </w:rPr>
      </w:pPr>
      <w:r>
        <w:rPr>
          <w:rFonts w:hint="eastAsia"/>
          <w:spacing w:val="4"/>
        </w:rPr>
        <w:t>响应供应商名称（盖公章）：</w:t>
      </w:r>
    </w:p>
    <w:p>
      <w:pPr>
        <w:ind w:firstLine="436" w:firstLineChars="200"/>
        <w:rPr>
          <w:spacing w:val="4"/>
        </w:rPr>
      </w:pPr>
    </w:p>
    <w:p>
      <w:pPr>
        <w:spacing w:line="520" w:lineRule="exact"/>
        <w:ind w:firstLine="436" w:firstLineChars="200"/>
        <w:rPr>
          <w:rFonts w:ascii="宋体" w:hAnsi="宋体"/>
          <w:b/>
          <w:bCs/>
          <w:sz w:val="28"/>
        </w:rPr>
      </w:pPr>
      <w:r>
        <w:rPr>
          <w:rFonts w:hint="eastAsia"/>
          <w:spacing w:val="4"/>
        </w:rPr>
        <w:t>日期：</w:t>
      </w:r>
    </w:p>
    <w:p>
      <w:pPr>
        <w:spacing w:line="440" w:lineRule="exact"/>
        <w:rPr>
          <w:rFonts w:ascii="黑体" w:eastAsia="黑体"/>
          <w:bCs/>
          <w:sz w:val="28"/>
        </w:rPr>
      </w:pPr>
    </w:p>
    <w:p>
      <w:pPr>
        <w:spacing w:line="440" w:lineRule="exact"/>
        <w:ind w:left="425"/>
        <w:rPr>
          <w:rFonts w:ascii="黑体" w:eastAsia="黑体"/>
          <w:bCs/>
          <w:sz w:val="28"/>
        </w:rPr>
      </w:pPr>
    </w:p>
    <w:p>
      <w:pPr>
        <w:spacing w:after="100" w:afterAutospacing="1" w:line="440" w:lineRule="exact"/>
        <w:jc w:val="center"/>
        <w:outlineLvl w:val="1"/>
        <w:rPr>
          <w:b/>
          <w:kern w:val="0"/>
          <w:sz w:val="28"/>
          <w:szCs w:val="28"/>
        </w:rPr>
      </w:pPr>
      <w:r>
        <w:br w:type="page"/>
      </w:r>
      <w:r>
        <w:rPr>
          <w:rFonts w:hint="eastAsia"/>
          <w:b/>
          <w:kern w:val="0"/>
          <w:sz w:val="28"/>
          <w:szCs w:val="28"/>
        </w:rPr>
        <w:t>货物的详细情况及技术服务方案</w:t>
      </w:r>
    </w:p>
    <w:p>
      <w:pPr>
        <w:adjustRightInd w:val="0"/>
        <w:snapToGrid w:val="0"/>
        <w:spacing w:line="360" w:lineRule="auto"/>
        <w:jc w:val="center"/>
        <w:rPr>
          <w:rFonts w:ascii="宋体" w:hAnsi="宋体"/>
          <w:b/>
          <w:sz w:val="24"/>
        </w:rPr>
      </w:pPr>
      <w:r>
        <w:rPr>
          <w:rFonts w:hint="eastAsia" w:ascii="宋体" w:hAnsi="宋体"/>
          <w:b/>
          <w:sz w:val="24"/>
        </w:rPr>
        <w:t>（包组：）</w:t>
      </w:r>
    </w:p>
    <w:p>
      <w:pPr>
        <w:adjustRightInd w:val="0"/>
        <w:snapToGrid w:val="0"/>
        <w:spacing w:line="360" w:lineRule="auto"/>
        <w:rPr>
          <w:rFonts w:ascii="宋体" w:hAnsi="宋体"/>
          <w:b/>
        </w:rPr>
      </w:pPr>
      <w:r>
        <w:rPr>
          <w:rFonts w:hint="eastAsia" w:ascii="宋体" w:hAnsi="宋体"/>
          <w:b/>
        </w:rPr>
        <w:t>主要内容应包括但不限于以下内容（格式自定）：</w:t>
      </w:r>
    </w:p>
    <w:p>
      <w:pPr>
        <w:numPr>
          <w:ilvl w:val="0"/>
          <w:numId w:val="37"/>
        </w:numPr>
        <w:tabs>
          <w:tab w:val="left" w:pos="426"/>
        </w:tabs>
        <w:adjustRightInd w:val="0"/>
        <w:snapToGrid w:val="0"/>
        <w:spacing w:line="360" w:lineRule="auto"/>
        <w:ind w:left="630" w:hanging="630"/>
        <w:rPr>
          <w:b/>
        </w:rPr>
      </w:pPr>
      <w:r>
        <w:rPr>
          <w:rFonts w:hint="eastAsia"/>
          <w:b/>
        </w:rPr>
        <w:t>投标货物的详细情况</w:t>
      </w:r>
    </w:p>
    <w:p>
      <w:pPr>
        <w:numPr>
          <w:ilvl w:val="1"/>
          <w:numId w:val="37"/>
        </w:numPr>
        <w:adjustRightInd w:val="0"/>
        <w:snapToGrid w:val="0"/>
        <w:spacing w:line="360" w:lineRule="auto"/>
        <w:rPr>
          <w:rFonts w:ascii="宋体" w:hAnsi="宋体"/>
        </w:rPr>
      </w:pPr>
      <w:r>
        <w:t>投标</w:t>
      </w:r>
      <w:r>
        <w:rPr>
          <w:rFonts w:hint="eastAsia"/>
        </w:rPr>
        <w:t>货物</w:t>
      </w:r>
      <w:r>
        <w:t>的质量标准、检测标准、测试手段</w:t>
      </w:r>
      <w:r>
        <w:rPr>
          <w:rFonts w:hint="eastAsia" w:ascii="宋体" w:hAnsi="宋体"/>
        </w:rPr>
        <w:t>。</w:t>
      </w:r>
    </w:p>
    <w:p>
      <w:pPr>
        <w:numPr>
          <w:ilvl w:val="1"/>
          <w:numId w:val="37"/>
        </w:numPr>
        <w:adjustRightInd w:val="0"/>
        <w:snapToGrid w:val="0"/>
        <w:spacing w:line="360" w:lineRule="auto"/>
        <w:rPr>
          <w:rFonts w:ascii="宋体" w:hAnsi="宋体"/>
        </w:rPr>
      </w:pPr>
      <w:r>
        <w:rPr>
          <w:rFonts w:hint="eastAsia" w:ascii="宋体" w:hAnsi="宋体"/>
        </w:rPr>
        <w:t>投标</w:t>
      </w:r>
      <w:r>
        <w:rPr>
          <w:rFonts w:hint="eastAsia"/>
        </w:rPr>
        <w:t>货物主要配件、备品备件、易损件、专用工具等配置国内提供情况说明。</w:t>
      </w:r>
    </w:p>
    <w:p>
      <w:pPr>
        <w:numPr>
          <w:ilvl w:val="1"/>
          <w:numId w:val="37"/>
        </w:numPr>
        <w:adjustRightInd w:val="0"/>
        <w:snapToGrid w:val="0"/>
        <w:spacing w:line="360" w:lineRule="auto"/>
        <w:rPr>
          <w:rFonts w:ascii="宋体" w:hAnsi="宋体"/>
          <w:sz w:val="24"/>
        </w:rPr>
      </w:pPr>
      <w:r>
        <w:rPr>
          <w:rFonts w:hint="eastAsia"/>
        </w:rPr>
        <w:t>响应供应商</w:t>
      </w:r>
      <w:r>
        <w:rPr>
          <w:rFonts w:hint="eastAsia" w:ascii="宋体" w:hAnsi="宋体"/>
        </w:rPr>
        <w:t>认为对投标有利的其他资料。</w:t>
      </w:r>
    </w:p>
    <w:p>
      <w:pPr>
        <w:numPr>
          <w:ilvl w:val="0"/>
          <w:numId w:val="37"/>
        </w:numPr>
        <w:tabs>
          <w:tab w:val="left" w:pos="426"/>
        </w:tabs>
        <w:adjustRightInd w:val="0"/>
        <w:snapToGrid w:val="0"/>
        <w:spacing w:line="360" w:lineRule="auto"/>
        <w:ind w:left="630" w:hanging="630"/>
        <w:rPr>
          <w:rFonts w:ascii="Arial" w:hAnsi="Arial"/>
          <w:b/>
        </w:rPr>
      </w:pPr>
      <w:r>
        <w:rPr>
          <w:rFonts w:hint="eastAsia"/>
          <w:b/>
        </w:rPr>
        <w:t>投标技术服务方案</w:t>
      </w:r>
    </w:p>
    <w:p>
      <w:pPr>
        <w:numPr>
          <w:ilvl w:val="1"/>
          <w:numId w:val="37"/>
        </w:numPr>
        <w:adjustRightInd w:val="0"/>
        <w:snapToGrid w:val="0"/>
        <w:spacing w:line="360" w:lineRule="auto"/>
      </w:pPr>
      <w:r>
        <w:t>对投标</w:t>
      </w:r>
      <w:r>
        <w:rPr>
          <w:rFonts w:hint="eastAsia"/>
        </w:rPr>
        <w:t>货物</w:t>
      </w:r>
      <w:r>
        <w:t>的安装、</w:t>
      </w:r>
      <w:r>
        <w:rPr>
          <w:rFonts w:hint="eastAsia"/>
        </w:rPr>
        <w:t>调</w:t>
      </w:r>
      <w:r>
        <w:t>试</w:t>
      </w:r>
      <w:r>
        <w:rPr>
          <w:rFonts w:hint="eastAsia"/>
        </w:rPr>
        <w:t>、验收及操作、培训计划</w:t>
      </w:r>
      <w:r>
        <w:t>等方面采取技术和组织措施</w:t>
      </w:r>
      <w:r>
        <w:rPr>
          <w:rFonts w:hint="eastAsia"/>
        </w:rPr>
        <w:t>方案</w:t>
      </w:r>
      <w:r>
        <w:t>。</w:t>
      </w:r>
    </w:p>
    <w:p>
      <w:pPr>
        <w:numPr>
          <w:ilvl w:val="1"/>
          <w:numId w:val="37"/>
        </w:numPr>
        <w:adjustRightInd w:val="0"/>
        <w:snapToGrid w:val="0"/>
        <w:spacing w:line="360" w:lineRule="auto"/>
      </w:pPr>
      <w:r>
        <w:rPr>
          <w:rFonts w:hint="eastAsia"/>
        </w:rPr>
        <w:t>售后维修/服务点名称、电话，负责人员及地址（附售后维修/服务点的证明材料）。</w:t>
      </w:r>
    </w:p>
    <w:p>
      <w:pPr>
        <w:numPr>
          <w:ilvl w:val="1"/>
          <w:numId w:val="37"/>
        </w:numPr>
        <w:adjustRightInd w:val="0"/>
        <w:snapToGrid w:val="0"/>
        <w:spacing w:line="360" w:lineRule="auto"/>
      </w:pPr>
      <w:r>
        <w:rPr>
          <w:rFonts w:hint="eastAsia"/>
        </w:rPr>
        <w:t>详细说明维护期内的维修保养方案、价格费用及应急维修时间安排、维修服务收费标准。</w:t>
      </w:r>
    </w:p>
    <w:p>
      <w:pPr>
        <w:numPr>
          <w:ilvl w:val="1"/>
          <w:numId w:val="37"/>
        </w:numPr>
        <w:adjustRightInd w:val="0"/>
        <w:snapToGrid w:val="0"/>
        <w:spacing w:line="360" w:lineRule="auto"/>
        <w:rPr>
          <w:rFonts w:ascii="宋体" w:hAnsi="宋体"/>
          <w:sz w:val="24"/>
        </w:rPr>
      </w:pPr>
      <w:r>
        <w:rPr>
          <w:rFonts w:hint="eastAsia"/>
        </w:rPr>
        <w:t>响应供应商</w:t>
      </w:r>
      <w:r>
        <w:rPr>
          <w:rFonts w:hint="eastAsia" w:ascii="宋体" w:hAnsi="宋体"/>
        </w:rPr>
        <w:t>认为对投标有利的其他资料。</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500" w:lineRule="exact"/>
        <w:rPr>
          <w:rFonts w:ascii="宋体" w:hAnsi="宋体"/>
          <w:u w:val="single"/>
        </w:rPr>
      </w:pPr>
      <w:bookmarkStart w:id="34" w:name="_Toc50703730"/>
      <w:bookmarkStart w:id="35" w:name="_Toc50691037"/>
      <w:bookmarkStart w:id="36" w:name="_Toc43264518"/>
      <w:r>
        <w:rPr>
          <w:rFonts w:hint="eastAsia"/>
          <w:spacing w:val="4"/>
        </w:rPr>
        <w:t>响应供应商名称（盖公章）：</w:t>
      </w:r>
    </w:p>
    <w:p>
      <w:pPr>
        <w:spacing w:line="520" w:lineRule="exact"/>
        <w:rPr>
          <w:rFonts w:ascii="宋体"/>
        </w:rPr>
      </w:pPr>
    </w:p>
    <w:p>
      <w:pPr>
        <w:spacing w:line="520" w:lineRule="exact"/>
        <w:rPr>
          <w:spacing w:val="4"/>
          <w:u w:val="single"/>
        </w:rPr>
      </w:pPr>
      <w:r>
        <w:rPr>
          <w:rFonts w:hint="eastAsia"/>
          <w:spacing w:val="4"/>
        </w:rPr>
        <w:t>日期</w:t>
      </w:r>
    </w:p>
    <w:p>
      <w:pPr>
        <w:spacing w:line="520" w:lineRule="exact"/>
        <w:rPr>
          <w:spacing w:val="4"/>
        </w:rPr>
        <w:sectPr>
          <w:pgSz w:w="11906" w:h="16838"/>
          <w:pgMar w:top="1134" w:right="1134" w:bottom="1134" w:left="1134" w:header="671" w:footer="579" w:gutter="0"/>
          <w:cols w:space="425" w:num="1"/>
          <w:docGrid w:type="lines" w:linePitch="312" w:charSpace="0"/>
        </w:sectPr>
      </w:pPr>
    </w:p>
    <w:p>
      <w:pPr>
        <w:pStyle w:val="3"/>
        <w:adjustRightInd w:val="0"/>
        <w:snapToGrid w:val="0"/>
        <w:spacing w:beforeLines="50" w:afterLines="50" w:line="360" w:lineRule="auto"/>
        <w:jc w:val="center"/>
        <w:rPr>
          <w:b w:val="0"/>
        </w:rPr>
      </w:pPr>
      <w:bookmarkStart w:id="37" w:name="_Toc173553182"/>
      <w:bookmarkStart w:id="38" w:name="_Toc275865616"/>
      <w:r>
        <w:rPr>
          <w:rFonts w:hint="eastAsia"/>
          <w:b w:val="0"/>
        </w:rPr>
        <w:t>响应供应商基本情况表</w:t>
      </w:r>
      <w:bookmarkEnd w:id="37"/>
      <w:bookmarkEnd w:id="38"/>
    </w:p>
    <w:p>
      <w:pPr>
        <w:numPr>
          <w:ilvl w:val="0"/>
          <w:numId w:val="38"/>
        </w:numPr>
        <w:spacing w:line="360" w:lineRule="auto"/>
        <w:rPr>
          <w:rFonts w:ascii="宋体" w:hAnsi="宋体" w:cs="Arial"/>
          <w:szCs w:val="21"/>
        </w:rPr>
      </w:pPr>
      <w:r>
        <w:rPr>
          <w:rFonts w:ascii="宋体" w:hAnsi="宋体" w:cs="Arial"/>
          <w:szCs w:val="21"/>
        </w:rPr>
        <w:t>公司基本情况</w:t>
      </w:r>
    </w:p>
    <w:p>
      <w:pPr>
        <w:numPr>
          <w:ilvl w:val="1"/>
          <w:numId w:val="38"/>
        </w:numPr>
        <w:tabs>
          <w:tab w:val="left" w:pos="420"/>
          <w:tab w:val="clear" w:pos="840"/>
        </w:tabs>
        <w:spacing w:line="360" w:lineRule="auto"/>
        <w:ind w:left="420"/>
        <w:rPr>
          <w:rFonts w:ascii="宋体" w:hAnsi="宋体" w:cs="Arial"/>
          <w:szCs w:val="21"/>
        </w:rPr>
      </w:pPr>
      <w:r>
        <w:rPr>
          <w:rFonts w:ascii="宋体" w:hAnsi="宋体" w:cs="Arial"/>
          <w:szCs w:val="21"/>
        </w:rPr>
        <w:t>公司名称：  电话号码：</w:t>
      </w:r>
    </w:p>
    <w:p>
      <w:pPr>
        <w:numPr>
          <w:ilvl w:val="1"/>
          <w:numId w:val="38"/>
        </w:numPr>
        <w:tabs>
          <w:tab w:val="left" w:pos="420"/>
          <w:tab w:val="clear" w:pos="840"/>
        </w:tabs>
        <w:spacing w:line="360" w:lineRule="auto"/>
        <w:ind w:left="420"/>
        <w:rPr>
          <w:rFonts w:ascii="宋体" w:hAnsi="宋体" w:cs="Arial"/>
          <w:szCs w:val="21"/>
        </w:rPr>
      </w:pPr>
      <w:r>
        <w:rPr>
          <w:rFonts w:ascii="宋体" w:hAnsi="宋体" w:cs="Arial"/>
          <w:szCs w:val="21"/>
        </w:rPr>
        <w:t>地    址：  传    真：</w:t>
      </w:r>
    </w:p>
    <w:p>
      <w:pPr>
        <w:numPr>
          <w:ilvl w:val="1"/>
          <w:numId w:val="38"/>
        </w:numPr>
        <w:tabs>
          <w:tab w:val="left" w:pos="420"/>
          <w:tab w:val="clear" w:pos="840"/>
        </w:tabs>
        <w:spacing w:line="360" w:lineRule="auto"/>
        <w:ind w:left="420"/>
        <w:rPr>
          <w:rFonts w:ascii="宋体" w:hAnsi="宋体" w:cs="Arial"/>
          <w:szCs w:val="21"/>
          <w:u w:val="single"/>
        </w:rPr>
      </w:pPr>
      <w:r>
        <w:rPr>
          <w:rFonts w:ascii="宋体" w:hAnsi="宋体" w:cs="Arial"/>
          <w:szCs w:val="21"/>
        </w:rPr>
        <w:t>注册资金：  经济性质：</w:t>
      </w:r>
    </w:p>
    <w:p>
      <w:pPr>
        <w:numPr>
          <w:ilvl w:val="1"/>
          <w:numId w:val="38"/>
        </w:numPr>
        <w:tabs>
          <w:tab w:val="left" w:pos="420"/>
          <w:tab w:val="clear" w:pos="840"/>
        </w:tabs>
        <w:spacing w:line="360" w:lineRule="auto"/>
        <w:ind w:left="420"/>
        <w:rPr>
          <w:rFonts w:ascii="宋体" w:hAnsi="宋体" w:cs="Arial"/>
          <w:szCs w:val="21"/>
        </w:rPr>
      </w:pPr>
      <w:r>
        <w:rPr>
          <w:rFonts w:ascii="宋体" w:hAnsi="宋体" w:cs="Arial"/>
          <w:szCs w:val="21"/>
        </w:rPr>
        <w:t>公司开户银行名称及账号：</w:t>
      </w:r>
    </w:p>
    <w:p>
      <w:pPr>
        <w:numPr>
          <w:ilvl w:val="1"/>
          <w:numId w:val="38"/>
        </w:numPr>
        <w:tabs>
          <w:tab w:val="left" w:pos="420"/>
          <w:tab w:val="clear" w:pos="840"/>
        </w:tabs>
        <w:spacing w:line="360" w:lineRule="auto"/>
        <w:ind w:left="420"/>
        <w:rPr>
          <w:rFonts w:ascii="宋体" w:hAnsi="宋体" w:cs="Arial"/>
          <w:szCs w:val="21"/>
        </w:rPr>
      </w:pPr>
      <w:r>
        <w:rPr>
          <w:rFonts w:ascii="宋体" w:hAnsi="宋体" w:cs="Arial"/>
          <w:szCs w:val="21"/>
        </w:rPr>
        <w:t>营业注册执照号：</w:t>
      </w:r>
    </w:p>
    <w:p>
      <w:pPr>
        <w:numPr>
          <w:ilvl w:val="1"/>
          <w:numId w:val="38"/>
        </w:numPr>
        <w:tabs>
          <w:tab w:val="left" w:pos="420"/>
          <w:tab w:val="clear" w:pos="840"/>
        </w:tabs>
        <w:spacing w:line="360" w:lineRule="auto"/>
        <w:ind w:left="420"/>
        <w:rPr>
          <w:rFonts w:ascii="宋体" w:hAnsi="宋体" w:cs="Arial"/>
          <w:szCs w:val="21"/>
        </w:rPr>
      </w:pPr>
      <w:r>
        <w:rPr>
          <w:rFonts w:ascii="宋体" w:hAnsi="宋体" w:cs="Arial"/>
          <w:szCs w:val="21"/>
        </w:rPr>
        <w:t>公司简介</w:t>
      </w:r>
    </w:p>
    <w:p>
      <w:pPr>
        <w:spacing w:line="360" w:lineRule="auto"/>
        <w:ind w:left="360"/>
        <w:rPr>
          <w:rFonts w:ascii="宋体" w:hAnsi="宋体"/>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w:t>
      </w:r>
      <w:r>
        <w:rPr>
          <w:rFonts w:ascii="宋体" w:hAnsi="宋体"/>
        </w:rPr>
        <w:t>管理水平</w:t>
      </w:r>
      <w:r>
        <w:rPr>
          <w:rFonts w:hint="eastAsia" w:ascii="宋体" w:hAnsi="宋体"/>
        </w:rPr>
        <w:t>等方面进行阐述</w:t>
      </w:r>
    </w:p>
    <w:p>
      <w:pPr>
        <w:spacing w:line="360" w:lineRule="auto"/>
        <w:ind w:left="360"/>
        <w:rPr>
          <w:rFonts w:ascii="宋体" w:hAnsi="宋体"/>
          <w:bCs/>
          <w:szCs w:val="21"/>
          <w:lang w:val="en-GB"/>
        </w:rPr>
      </w:pPr>
      <w:r>
        <w:rPr>
          <w:rFonts w:hint="eastAsia" w:ascii="宋体" w:hAnsi="宋体"/>
        </w:rPr>
        <w:t>图片描述：</w:t>
      </w:r>
      <w:r>
        <w:rPr>
          <w:rFonts w:hint="eastAsia" w:ascii="宋体" w:hAnsi="宋体"/>
          <w:bCs/>
          <w:szCs w:val="21"/>
          <w:lang w:val="en-GB"/>
        </w:rPr>
        <w:t>经营场所、主要或关键产品介绍、生产场所及工艺流程等。</w:t>
      </w:r>
    </w:p>
    <w:p>
      <w:pPr>
        <w:numPr>
          <w:ilvl w:val="1"/>
          <w:numId w:val="38"/>
        </w:numPr>
        <w:tabs>
          <w:tab w:val="left" w:pos="420"/>
          <w:tab w:val="clear" w:pos="840"/>
        </w:tabs>
        <w:spacing w:line="360" w:lineRule="auto"/>
        <w:ind w:left="420"/>
        <w:rPr>
          <w:rFonts w:ascii="宋体" w:hAnsi="宋体" w:cs="Arial"/>
          <w:szCs w:val="21"/>
        </w:rPr>
      </w:pPr>
      <w:r>
        <w:rPr>
          <w:rFonts w:hint="eastAsia" w:ascii="宋体" w:hAnsi="宋体" w:cs="Arial"/>
          <w:szCs w:val="21"/>
        </w:rPr>
        <w:t xml:space="preserve">股东及出资信息 </w:t>
      </w:r>
    </w:p>
    <w:tbl>
      <w:tblPr>
        <w:tblStyle w:val="3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489"/>
        <w:gridCol w:w="2049"/>
        <w:gridCol w:w="1957"/>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886" w:type="dxa"/>
            <w:vAlign w:val="center"/>
          </w:tcPr>
          <w:p>
            <w:pPr>
              <w:spacing w:line="360" w:lineRule="auto"/>
              <w:jc w:val="center"/>
              <w:rPr>
                <w:rFonts w:ascii="宋体" w:hAnsi="宋体" w:cs="Arial"/>
              </w:rPr>
            </w:pPr>
            <w:r>
              <w:rPr>
                <w:rFonts w:hint="eastAsia" w:ascii="宋体" w:hAnsi="宋体" w:cs="Arial"/>
              </w:rPr>
              <w:t>序号</w:t>
            </w:r>
          </w:p>
        </w:tc>
        <w:tc>
          <w:tcPr>
            <w:tcW w:w="1489" w:type="dxa"/>
            <w:vAlign w:val="center"/>
          </w:tcPr>
          <w:p>
            <w:pPr>
              <w:spacing w:line="276" w:lineRule="auto"/>
              <w:jc w:val="center"/>
              <w:rPr>
                <w:rFonts w:ascii="宋体" w:hAnsi="宋体" w:cs="Arial"/>
              </w:rPr>
            </w:pPr>
            <w:r>
              <w:rPr>
                <w:rFonts w:hint="eastAsia" w:ascii="宋体" w:hAnsi="宋体" w:cs="Arial"/>
              </w:rPr>
              <w:t>名称</w:t>
            </w:r>
          </w:p>
          <w:p>
            <w:pPr>
              <w:spacing w:line="276" w:lineRule="auto"/>
              <w:jc w:val="center"/>
              <w:rPr>
                <w:rFonts w:ascii="宋体" w:hAnsi="宋体" w:cs="Arial"/>
              </w:rPr>
            </w:pPr>
            <w:r>
              <w:rPr>
                <w:rFonts w:hint="eastAsia" w:ascii="宋体" w:hAnsi="宋体" w:cs="Arial"/>
              </w:rPr>
              <w:t>（姓名）</w:t>
            </w:r>
          </w:p>
        </w:tc>
        <w:tc>
          <w:tcPr>
            <w:tcW w:w="2049" w:type="dxa"/>
            <w:vAlign w:val="center"/>
          </w:tcPr>
          <w:p>
            <w:pPr>
              <w:pStyle w:val="27"/>
              <w:spacing w:before="0" w:beforeAutospacing="0" w:after="0" w:afterAutospacing="0" w:line="276" w:lineRule="auto"/>
              <w:jc w:val="center"/>
              <w:rPr>
                <w:rFonts w:cs="Arial"/>
                <w:b/>
                <w:sz w:val="21"/>
                <w:szCs w:val="21"/>
              </w:rPr>
            </w:pPr>
            <w:r>
              <w:rPr>
                <w:rFonts w:hint="eastAsia" w:cs="Arial"/>
                <w:b/>
                <w:sz w:val="21"/>
                <w:szCs w:val="21"/>
              </w:rPr>
              <w:t>统一社会信用代码（身份证号）</w:t>
            </w:r>
          </w:p>
        </w:tc>
        <w:tc>
          <w:tcPr>
            <w:tcW w:w="1957" w:type="dxa"/>
            <w:vAlign w:val="center"/>
          </w:tcPr>
          <w:p>
            <w:pPr>
              <w:pStyle w:val="27"/>
              <w:spacing w:before="0" w:beforeAutospacing="0" w:after="0" w:afterAutospacing="0" w:line="276" w:lineRule="auto"/>
              <w:jc w:val="center"/>
              <w:rPr>
                <w:rFonts w:cs="Arial"/>
                <w:b/>
                <w:sz w:val="21"/>
                <w:szCs w:val="21"/>
              </w:rPr>
            </w:pPr>
            <w:r>
              <w:rPr>
                <w:rFonts w:hint="eastAsia" w:cs="Arial"/>
                <w:b/>
                <w:sz w:val="21"/>
                <w:szCs w:val="21"/>
              </w:rPr>
              <w:t>出资额</w:t>
            </w:r>
          </w:p>
          <w:p>
            <w:pPr>
              <w:pStyle w:val="27"/>
              <w:spacing w:before="0" w:beforeAutospacing="0" w:after="0" w:afterAutospacing="0" w:line="276" w:lineRule="auto"/>
              <w:jc w:val="center"/>
              <w:rPr>
                <w:rFonts w:cs="Arial"/>
                <w:b/>
                <w:sz w:val="21"/>
                <w:szCs w:val="21"/>
              </w:rPr>
            </w:pPr>
            <w:r>
              <w:rPr>
                <w:rFonts w:hint="eastAsia" w:cs="Arial"/>
                <w:b/>
                <w:sz w:val="21"/>
                <w:szCs w:val="21"/>
              </w:rPr>
              <w:t>（人民币  万元）</w:t>
            </w:r>
          </w:p>
        </w:tc>
        <w:tc>
          <w:tcPr>
            <w:tcW w:w="1595" w:type="dxa"/>
            <w:vAlign w:val="center"/>
          </w:tcPr>
          <w:p>
            <w:pPr>
              <w:pStyle w:val="27"/>
              <w:spacing w:before="0" w:beforeAutospacing="0" w:after="0" w:afterAutospacing="0" w:line="276" w:lineRule="auto"/>
              <w:jc w:val="center"/>
              <w:rPr>
                <w:rFonts w:cs="Arial"/>
                <w:b/>
                <w:sz w:val="21"/>
                <w:szCs w:val="21"/>
              </w:rPr>
            </w:pPr>
            <w:r>
              <w:rPr>
                <w:rFonts w:hint="eastAsia" w:cs="Arial"/>
                <w:b/>
                <w:sz w:val="21"/>
                <w:szCs w:val="21"/>
              </w:rPr>
              <w:t>出资方式</w:t>
            </w:r>
          </w:p>
        </w:tc>
        <w:tc>
          <w:tcPr>
            <w:tcW w:w="1595" w:type="dxa"/>
            <w:vAlign w:val="center"/>
          </w:tcPr>
          <w:p>
            <w:pPr>
              <w:pStyle w:val="27"/>
              <w:spacing w:before="0" w:beforeAutospacing="0" w:after="0" w:afterAutospacing="0" w:line="276" w:lineRule="auto"/>
              <w:jc w:val="center"/>
              <w:rPr>
                <w:rFonts w:cs="Arial"/>
                <w:b/>
                <w:sz w:val="21"/>
                <w:szCs w:val="21"/>
              </w:rPr>
            </w:pPr>
            <w:r>
              <w:rPr>
                <w:rFonts w:hint="eastAsia" w:cs="Arial"/>
                <w:b/>
                <w:sz w:val="21"/>
                <w:szCs w:val="21"/>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6" w:type="dxa"/>
          </w:tcPr>
          <w:p>
            <w:pPr>
              <w:spacing w:line="360" w:lineRule="auto"/>
              <w:jc w:val="center"/>
              <w:rPr>
                <w:rFonts w:ascii="宋体" w:hAnsi="宋体" w:cs="Arial"/>
              </w:rPr>
            </w:pPr>
            <w:r>
              <w:rPr>
                <w:rFonts w:hint="eastAsia" w:ascii="宋体" w:hAnsi="宋体" w:cs="Arial"/>
              </w:rPr>
              <w:t>1</w:t>
            </w:r>
          </w:p>
        </w:tc>
        <w:tc>
          <w:tcPr>
            <w:tcW w:w="1489" w:type="dxa"/>
          </w:tcPr>
          <w:p>
            <w:pPr>
              <w:spacing w:line="360" w:lineRule="auto"/>
              <w:jc w:val="center"/>
              <w:rPr>
                <w:rFonts w:ascii="宋体" w:hAnsi="宋体" w:cs="Arial"/>
              </w:rPr>
            </w:pPr>
          </w:p>
        </w:tc>
        <w:tc>
          <w:tcPr>
            <w:tcW w:w="2049" w:type="dxa"/>
          </w:tcPr>
          <w:p>
            <w:pPr>
              <w:spacing w:line="360" w:lineRule="auto"/>
              <w:jc w:val="center"/>
              <w:rPr>
                <w:rFonts w:ascii="宋体" w:hAnsi="宋体" w:cs="Arial"/>
              </w:rPr>
            </w:pPr>
          </w:p>
        </w:tc>
        <w:tc>
          <w:tcPr>
            <w:tcW w:w="1957" w:type="dxa"/>
          </w:tcPr>
          <w:p>
            <w:pPr>
              <w:spacing w:line="360" w:lineRule="auto"/>
              <w:jc w:val="center"/>
              <w:rPr>
                <w:rFonts w:ascii="宋体" w:hAnsi="宋体" w:cs="Arial"/>
              </w:rPr>
            </w:pPr>
          </w:p>
        </w:tc>
        <w:tc>
          <w:tcPr>
            <w:tcW w:w="1595" w:type="dxa"/>
          </w:tcPr>
          <w:p>
            <w:pPr>
              <w:spacing w:line="360" w:lineRule="auto"/>
              <w:jc w:val="center"/>
              <w:rPr>
                <w:rFonts w:ascii="宋体" w:hAnsi="宋体" w:cs="Arial"/>
              </w:rPr>
            </w:pPr>
          </w:p>
        </w:tc>
        <w:tc>
          <w:tcPr>
            <w:tcW w:w="1595" w:type="dxa"/>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6" w:type="dxa"/>
          </w:tcPr>
          <w:p>
            <w:pPr>
              <w:spacing w:line="360" w:lineRule="auto"/>
              <w:jc w:val="center"/>
              <w:rPr>
                <w:rFonts w:ascii="宋体" w:hAnsi="宋体" w:cs="Arial"/>
              </w:rPr>
            </w:pPr>
            <w:r>
              <w:rPr>
                <w:rFonts w:hint="eastAsia" w:ascii="宋体" w:hAnsi="宋体" w:cs="Arial"/>
              </w:rPr>
              <w:t>2</w:t>
            </w:r>
          </w:p>
        </w:tc>
        <w:tc>
          <w:tcPr>
            <w:tcW w:w="1489" w:type="dxa"/>
          </w:tcPr>
          <w:p>
            <w:pPr>
              <w:spacing w:line="360" w:lineRule="auto"/>
              <w:jc w:val="center"/>
              <w:rPr>
                <w:rFonts w:ascii="宋体" w:hAnsi="宋体" w:cs="Arial"/>
              </w:rPr>
            </w:pPr>
          </w:p>
        </w:tc>
        <w:tc>
          <w:tcPr>
            <w:tcW w:w="2049" w:type="dxa"/>
          </w:tcPr>
          <w:p>
            <w:pPr>
              <w:spacing w:line="360" w:lineRule="auto"/>
              <w:jc w:val="center"/>
              <w:rPr>
                <w:rFonts w:ascii="宋体" w:hAnsi="宋体" w:cs="Arial"/>
              </w:rPr>
            </w:pPr>
          </w:p>
        </w:tc>
        <w:tc>
          <w:tcPr>
            <w:tcW w:w="1957" w:type="dxa"/>
          </w:tcPr>
          <w:p>
            <w:pPr>
              <w:spacing w:line="360" w:lineRule="auto"/>
              <w:jc w:val="center"/>
              <w:rPr>
                <w:rFonts w:ascii="宋体" w:hAnsi="宋体" w:cs="Arial"/>
              </w:rPr>
            </w:pPr>
          </w:p>
        </w:tc>
        <w:tc>
          <w:tcPr>
            <w:tcW w:w="1595" w:type="dxa"/>
          </w:tcPr>
          <w:p>
            <w:pPr>
              <w:spacing w:line="360" w:lineRule="auto"/>
              <w:jc w:val="center"/>
              <w:rPr>
                <w:rFonts w:ascii="宋体" w:hAnsi="宋体" w:cs="Arial"/>
              </w:rPr>
            </w:pPr>
          </w:p>
        </w:tc>
        <w:tc>
          <w:tcPr>
            <w:tcW w:w="1595" w:type="dxa"/>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6" w:type="dxa"/>
          </w:tcPr>
          <w:p>
            <w:pPr>
              <w:spacing w:line="360" w:lineRule="auto"/>
              <w:jc w:val="center"/>
              <w:rPr>
                <w:rFonts w:ascii="宋体" w:hAnsi="宋体" w:cs="Arial"/>
              </w:rPr>
            </w:pPr>
            <w:r>
              <w:rPr>
                <w:rFonts w:hint="eastAsia" w:ascii="宋体" w:hAnsi="宋体" w:cs="Arial"/>
              </w:rPr>
              <w:t>…</w:t>
            </w:r>
          </w:p>
        </w:tc>
        <w:tc>
          <w:tcPr>
            <w:tcW w:w="1489" w:type="dxa"/>
          </w:tcPr>
          <w:p>
            <w:pPr>
              <w:spacing w:line="360" w:lineRule="auto"/>
              <w:jc w:val="center"/>
              <w:rPr>
                <w:rFonts w:ascii="宋体" w:hAnsi="宋体" w:cs="Arial"/>
              </w:rPr>
            </w:pPr>
          </w:p>
        </w:tc>
        <w:tc>
          <w:tcPr>
            <w:tcW w:w="2049" w:type="dxa"/>
          </w:tcPr>
          <w:p>
            <w:pPr>
              <w:spacing w:line="360" w:lineRule="auto"/>
              <w:jc w:val="center"/>
              <w:rPr>
                <w:rFonts w:ascii="宋体" w:hAnsi="宋体" w:cs="Arial"/>
              </w:rPr>
            </w:pPr>
          </w:p>
        </w:tc>
        <w:tc>
          <w:tcPr>
            <w:tcW w:w="1957" w:type="dxa"/>
          </w:tcPr>
          <w:p>
            <w:pPr>
              <w:spacing w:line="360" w:lineRule="auto"/>
              <w:jc w:val="center"/>
              <w:rPr>
                <w:rFonts w:ascii="宋体" w:hAnsi="宋体" w:cs="Arial"/>
              </w:rPr>
            </w:pPr>
          </w:p>
        </w:tc>
        <w:tc>
          <w:tcPr>
            <w:tcW w:w="1595" w:type="dxa"/>
          </w:tcPr>
          <w:p>
            <w:pPr>
              <w:spacing w:line="360" w:lineRule="auto"/>
              <w:jc w:val="center"/>
              <w:rPr>
                <w:rFonts w:ascii="宋体" w:hAnsi="宋体" w:cs="Arial"/>
              </w:rPr>
            </w:pPr>
          </w:p>
        </w:tc>
        <w:tc>
          <w:tcPr>
            <w:tcW w:w="1595" w:type="dxa"/>
          </w:tcPr>
          <w:p>
            <w:pPr>
              <w:spacing w:line="360" w:lineRule="auto"/>
              <w:jc w:val="center"/>
              <w:rPr>
                <w:rFonts w:ascii="宋体" w:hAnsi="宋体" w:cs="Arial"/>
              </w:rPr>
            </w:pPr>
          </w:p>
        </w:tc>
      </w:tr>
    </w:tbl>
    <w:p>
      <w:pPr>
        <w:spacing w:line="360" w:lineRule="auto"/>
        <w:rPr>
          <w:rFonts w:ascii="宋体" w:hAnsi="宋体" w:cs="Arial"/>
        </w:rPr>
      </w:pPr>
      <w:r>
        <w:rPr>
          <w:rFonts w:hint="eastAsia" w:ascii="宋体" w:hAnsi="宋体" w:cs="Arial"/>
        </w:rPr>
        <w:t>注：1. 主要股东或出资人为法人的，填写法人全称及统一社会信</w:t>
      </w:r>
      <w:bookmarkStart w:id="60" w:name="_GoBack"/>
      <w:bookmarkEnd w:id="60"/>
      <w:r>
        <w:rPr>
          <w:rFonts w:hint="eastAsia" w:ascii="宋体" w:hAnsi="宋体" w:cs="Arial"/>
        </w:rPr>
        <w:t>用代码（尚未办理多证合一的填写组织机构代码）；为自然人的，填写自然人姓名和身份证号。</w:t>
      </w:r>
    </w:p>
    <w:p>
      <w:pPr>
        <w:spacing w:line="360" w:lineRule="auto"/>
        <w:rPr>
          <w:rFonts w:ascii="宋体" w:hAnsi="宋体" w:cs="Arial"/>
        </w:rPr>
      </w:pPr>
      <w:r>
        <w:rPr>
          <w:rFonts w:hint="eastAsia" w:ascii="宋体" w:hAnsi="宋体" w:cs="Arial"/>
        </w:rPr>
        <w:t>2. 出资方式填写：货币、实物、工艺产权和非专利技术、土地使用权等。</w:t>
      </w:r>
    </w:p>
    <w:p>
      <w:pPr>
        <w:spacing w:line="360" w:lineRule="auto"/>
        <w:rPr>
          <w:rFonts w:ascii="宋体" w:hAnsi="宋体" w:cs="Arial"/>
        </w:rPr>
      </w:pPr>
      <w:r>
        <w:rPr>
          <w:rFonts w:hint="eastAsia" w:ascii="宋体" w:hAnsi="宋体" w:cs="Arial"/>
        </w:rPr>
        <w:t>3. 响应供应商应按照占全部股份比例从大到小依次逐个股东填写，股东数量多于10个的，填写前10名，不足10个全部填写。</w:t>
      </w:r>
    </w:p>
    <w:p>
      <w:pPr>
        <w:numPr>
          <w:ilvl w:val="0"/>
          <w:numId w:val="38"/>
        </w:numPr>
        <w:spacing w:line="360" w:lineRule="auto"/>
        <w:rPr>
          <w:rFonts w:ascii="宋体" w:hAnsi="宋体" w:cs="Arial"/>
          <w:szCs w:val="21"/>
        </w:rPr>
      </w:pPr>
      <w:r>
        <w:rPr>
          <w:rFonts w:ascii="宋体" w:hAnsi="宋体" w:cs="Arial"/>
          <w:szCs w:val="21"/>
        </w:rPr>
        <w:t>响应供应商获得国家有关部门颁发的资质和国内外知名厂商出具的销售许可证明：</w:t>
      </w:r>
    </w:p>
    <w:tbl>
      <w:tblPr>
        <w:tblStyle w:val="30"/>
        <w:tblW w:w="9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2"/>
        <w:gridCol w:w="2402"/>
        <w:gridCol w:w="2402"/>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402" w:type="dxa"/>
            <w:tcBorders>
              <w:top w:val="single" w:color="auto" w:sz="12" w:space="0"/>
              <w:left w:val="single" w:color="auto" w:sz="12" w:space="0"/>
            </w:tcBorders>
          </w:tcPr>
          <w:p>
            <w:pPr>
              <w:spacing w:line="360" w:lineRule="auto"/>
              <w:jc w:val="center"/>
              <w:rPr>
                <w:rFonts w:ascii="宋体" w:hAnsi="宋体" w:cs="Arial"/>
                <w:szCs w:val="21"/>
              </w:rPr>
            </w:pPr>
            <w:r>
              <w:rPr>
                <w:rFonts w:ascii="宋体" w:hAnsi="宋体" w:cs="Arial"/>
                <w:szCs w:val="21"/>
              </w:rPr>
              <w:t xml:space="preserve">  证书名称</w:t>
            </w:r>
          </w:p>
        </w:tc>
        <w:tc>
          <w:tcPr>
            <w:tcW w:w="2402" w:type="dxa"/>
            <w:tcBorders>
              <w:top w:val="single" w:color="auto" w:sz="12" w:space="0"/>
            </w:tcBorders>
          </w:tcPr>
          <w:p>
            <w:pPr>
              <w:spacing w:line="360" w:lineRule="auto"/>
              <w:jc w:val="center"/>
              <w:rPr>
                <w:rFonts w:ascii="宋体" w:hAnsi="宋体" w:cs="Arial"/>
                <w:szCs w:val="21"/>
              </w:rPr>
            </w:pPr>
            <w:r>
              <w:rPr>
                <w:rFonts w:ascii="宋体" w:hAnsi="宋体" w:cs="Arial"/>
                <w:szCs w:val="21"/>
              </w:rPr>
              <w:t>发证单位</w:t>
            </w:r>
          </w:p>
        </w:tc>
        <w:tc>
          <w:tcPr>
            <w:tcW w:w="2402" w:type="dxa"/>
            <w:tcBorders>
              <w:top w:val="single" w:color="auto" w:sz="12" w:space="0"/>
            </w:tcBorders>
          </w:tcPr>
          <w:p>
            <w:pPr>
              <w:spacing w:line="360" w:lineRule="auto"/>
              <w:jc w:val="center"/>
              <w:rPr>
                <w:rFonts w:ascii="宋体" w:hAnsi="宋体" w:cs="Arial"/>
                <w:szCs w:val="21"/>
              </w:rPr>
            </w:pPr>
            <w:r>
              <w:rPr>
                <w:rFonts w:ascii="宋体" w:hAnsi="宋体" w:cs="Arial"/>
                <w:szCs w:val="21"/>
              </w:rPr>
              <w:t>证书等级</w:t>
            </w:r>
          </w:p>
        </w:tc>
        <w:tc>
          <w:tcPr>
            <w:tcW w:w="2402" w:type="dxa"/>
            <w:tcBorders>
              <w:top w:val="single" w:color="auto" w:sz="12" w:space="0"/>
              <w:right w:val="single" w:color="auto" w:sz="12" w:space="0"/>
            </w:tcBorders>
          </w:tcPr>
          <w:p>
            <w:pPr>
              <w:spacing w:line="360" w:lineRule="auto"/>
              <w:jc w:val="center"/>
              <w:rPr>
                <w:rFonts w:ascii="宋体" w:hAnsi="宋体" w:cs="Arial"/>
                <w:szCs w:val="21"/>
              </w:rPr>
            </w:pPr>
            <w:r>
              <w:rPr>
                <w:rFonts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2" w:type="dxa"/>
            <w:tcBorders>
              <w:left w:val="single" w:color="auto" w:sz="12" w:space="0"/>
            </w:tcBorders>
          </w:tcPr>
          <w:p>
            <w:pPr>
              <w:spacing w:line="360" w:lineRule="auto"/>
              <w:jc w:val="center"/>
              <w:rPr>
                <w:rFonts w:ascii="宋体" w:hAnsi="宋体" w:cs="Arial"/>
                <w:szCs w:val="21"/>
              </w:rPr>
            </w:pPr>
          </w:p>
        </w:tc>
        <w:tc>
          <w:tcPr>
            <w:tcW w:w="2402" w:type="dxa"/>
          </w:tcPr>
          <w:p>
            <w:pPr>
              <w:spacing w:line="360" w:lineRule="auto"/>
              <w:jc w:val="center"/>
              <w:rPr>
                <w:rFonts w:ascii="宋体" w:hAnsi="宋体" w:cs="Arial"/>
                <w:szCs w:val="21"/>
              </w:rPr>
            </w:pPr>
          </w:p>
        </w:tc>
        <w:tc>
          <w:tcPr>
            <w:tcW w:w="2402" w:type="dxa"/>
          </w:tcPr>
          <w:p>
            <w:pPr>
              <w:spacing w:line="360" w:lineRule="auto"/>
              <w:jc w:val="center"/>
              <w:rPr>
                <w:rFonts w:ascii="宋体" w:hAnsi="宋体" w:cs="Arial"/>
                <w:szCs w:val="21"/>
              </w:rPr>
            </w:pPr>
          </w:p>
        </w:tc>
        <w:tc>
          <w:tcPr>
            <w:tcW w:w="2402" w:type="dxa"/>
            <w:tcBorders>
              <w:right w:val="single" w:color="auto" w:sz="12" w:space="0"/>
            </w:tcBorders>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2" w:type="dxa"/>
            <w:tcBorders>
              <w:left w:val="single" w:color="auto" w:sz="12" w:space="0"/>
              <w:bottom w:val="single" w:color="auto" w:sz="12" w:space="0"/>
            </w:tcBorders>
          </w:tcPr>
          <w:p>
            <w:pPr>
              <w:spacing w:line="360" w:lineRule="auto"/>
              <w:jc w:val="center"/>
              <w:rPr>
                <w:rFonts w:ascii="宋体" w:hAnsi="宋体" w:cs="Arial"/>
                <w:szCs w:val="21"/>
              </w:rPr>
            </w:pPr>
          </w:p>
        </w:tc>
        <w:tc>
          <w:tcPr>
            <w:tcW w:w="2402" w:type="dxa"/>
            <w:tcBorders>
              <w:bottom w:val="single" w:color="auto" w:sz="12" w:space="0"/>
            </w:tcBorders>
          </w:tcPr>
          <w:p>
            <w:pPr>
              <w:spacing w:line="360" w:lineRule="auto"/>
              <w:jc w:val="center"/>
              <w:rPr>
                <w:rFonts w:ascii="宋体" w:hAnsi="宋体" w:cs="Arial"/>
                <w:szCs w:val="21"/>
              </w:rPr>
            </w:pPr>
          </w:p>
        </w:tc>
        <w:tc>
          <w:tcPr>
            <w:tcW w:w="2402" w:type="dxa"/>
            <w:tcBorders>
              <w:bottom w:val="single" w:color="auto" w:sz="12" w:space="0"/>
            </w:tcBorders>
          </w:tcPr>
          <w:p>
            <w:pPr>
              <w:spacing w:line="360" w:lineRule="auto"/>
              <w:jc w:val="center"/>
              <w:rPr>
                <w:rFonts w:ascii="宋体" w:hAnsi="宋体" w:cs="Arial"/>
                <w:szCs w:val="21"/>
              </w:rPr>
            </w:pPr>
          </w:p>
        </w:tc>
        <w:tc>
          <w:tcPr>
            <w:tcW w:w="2402" w:type="dxa"/>
            <w:tcBorders>
              <w:bottom w:val="single" w:color="auto" w:sz="12" w:space="0"/>
              <w:right w:val="single" w:color="auto" w:sz="12" w:space="0"/>
            </w:tcBorders>
          </w:tcPr>
          <w:p>
            <w:pPr>
              <w:spacing w:line="360" w:lineRule="auto"/>
              <w:jc w:val="center"/>
              <w:rPr>
                <w:rFonts w:ascii="宋体" w:hAnsi="宋体" w:cs="Arial"/>
                <w:szCs w:val="21"/>
              </w:rPr>
            </w:pPr>
          </w:p>
        </w:tc>
      </w:tr>
    </w:tbl>
    <w:p>
      <w:pPr>
        <w:spacing w:line="360" w:lineRule="auto"/>
        <w:ind w:firstLine="315" w:firstLineChars="150"/>
        <w:rPr>
          <w:rFonts w:ascii="宋体" w:hAnsi="宋体" w:cs="Arial"/>
          <w:szCs w:val="21"/>
        </w:rPr>
      </w:pPr>
      <w:r>
        <w:rPr>
          <w:rFonts w:ascii="宋体" w:hAnsi="宋体" w:cs="Arial"/>
          <w:szCs w:val="21"/>
        </w:rPr>
        <w:t>我/我们声明以上所述是正确无误的，您有权进行您认为必要的所有调查</w:t>
      </w:r>
      <w:r>
        <w:rPr>
          <w:rFonts w:hint="eastAsia" w:ascii="宋体" w:hAnsi="宋体" w:cs="Arial"/>
          <w:szCs w:val="21"/>
        </w:rPr>
        <w:t>，</w:t>
      </w:r>
      <w:r>
        <w:rPr>
          <w:rFonts w:hint="eastAsia" w:hAnsi="宋体"/>
          <w:szCs w:val="21"/>
          <w:lang w:val="en-GB"/>
        </w:rPr>
        <w:t>如以上数据有虚假，一经查实，自行承担相关责任。</w:t>
      </w:r>
      <w:bookmarkStart w:id="39" w:name="_Toc43264525"/>
    </w:p>
    <w:p>
      <w:pPr>
        <w:spacing w:line="500" w:lineRule="exact"/>
        <w:rPr>
          <w:rFonts w:ascii="宋体" w:hAnsi="宋体"/>
          <w:u w:val="single"/>
        </w:rPr>
      </w:pPr>
      <w:r>
        <w:rPr>
          <w:rFonts w:hint="eastAsia"/>
          <w:spacing w:val="4"/>
        </w:rPr>
        <w:t>响应供应商名称（盖公章）：</w:t>
      </w:r>
    </w:p>
    <w:p>
      <w:pPr>
        <w:spacing w:line="520" w:lineRule="exact"/>
        <w:rPr>
          <w:spacing w:val="4"/>
        </w:rPr>
      </w:pPr>
      <w:r>
        <w:rPr>
          <w:rFonts w:hint="eastAsia"/>
          <w:spacing w:val="4"/>
        </w:rPr>
        <w:t>日期：</w:t>
      </w:r>
      <w:bookmarkEnd w:id="34"/>
      <w:bookmarkEnd w:id="35"/>
      <w:bookmarkEnd w:id="39"/>
    </w:p>
    <w:p>
      <w:pPr>
        <w:pStyle w:val="3"/>
        <w:adjustRightInd w:val="0"/>
        <w:snapToGrid w:val="0"/>
        <w:spacing w:beforeLines="50" w:afterLines="50" w:line="360" w:lineRule="auto"/>
        <w:jc w:val="center"/>
        <w:rPr>
          <w:b w:val="0"/>
        </w:rPr>
      </w:pPr>
      <w:bookmarkStart w:id="40" w:name="_Toc50691042"/>
      <w:bookmarkStart w:id="41" w:name="_Toc50736480"/>
      <w:bookmarkStart w:id="42" w:name="_Toc50737300"/>
      <w:bookmarkStart w:id="43" w:name="_Toc50737332"/>
      <w:bookmarkStart w:id="44" w:name="_Toc52165084"/>
      <w:bookmarkStart w:id="45" w:name="_Toc275865618"/>
      <w:r>
        <w:rPr>
          <w:rFonts w:hint="eastAsia"/>
          <w:b w:val="0"/>
        </w:rPr>
        <w:t>项目经理及管理技术人员一览表</w:t>
      </w:r>
      <w:bookmarkEnd w:id="40"/>
      <w:bookmarkEnd w:id="41"/>
      <w:bookmarkEnd w:id="42"/>
      <w:bookmarkEnd w:id="43"/>
      <w:bookmarkEnd w:id="44"/>
      <w:bookmarkEnd w:id="45"/>
    </w:p>
    <w:p>
      <w:pPr>
        <w:spacing w:line="400" w:lineRule="exact"/>
        <w:rPr>
          <w:rFonts w:ascii="宋体" w:hAnsi="宋体"/>
        </w:rPr>
      </w:pPr>
      <w:r>
        <w:rPr>
          <w:rFonts w:hint="eastAsia" w:ascii="宋体" w:hAnsi="宋体"/>
        </w:rPr>
        <w:t>响应供应商名称：                             包组号：        项目编号：CLF0119SZ14QY80</w:t>
      </w:r>
    </w:p>
    <w:tbl>
      <w:tblPr>
        <w:tblStyle w:val="30"/>
        <w:tblW w:w="946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46"/>
        <w:gridCol w:w="685"/>
        <w:gridCol w:w="695"/>
        <w:gridCol w:w="834"/>
        <w:gridCol w:w="1066"/>
        <w:gridCol w:w="1235"/>
        <w:gridCol w:w="1062"/>
        <w:gridCol w:w="22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3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序号</w:t>
            </w:r>
          </w:p>
        </w:tc>
        <w:tc>
          <w:tcPr>
            <w:tcW w:w="1046" w:type="dxa"/>
            <w:tcBorders>
              <w:top w:val="single" w:color="auto" w:sz="12" w:space="0"/>
              <w:bottom w:val="double" w:color="auto" w:sz="4" w:space="0"/>
            </w:tcBorders>
            <w:shd w:val="clear" w:color="auto" w:fill="EEECE1"/>
            <w:vAlign w:val="center"/>
          </w:tcPr>
          <w:p>
            <w:pPr>
              <w:pStyle w:val="68"/>
              <w:keepNext w:val="0"/>
              <w:snapToGrid w:val="0"/>
              <w:spacing w:before="0" w:after="0" w:line="240" w:lineRule="auto"/>
              <w:textAlignment w:val="auto"/>
              <w:rPr>
                <w:rFonts w:ascii="宋体" w:hAnsi="宋体"/>
                <w:snapToGrid/>
                <w:spacing w:val="0"/>
                <w:kern w:val="2"/>
                <w:sz w:val="21"/>
                <w:szCs w:val="24"/>
              </w:rPr>
            </w:pPr>
            <w:r>
              <w:rPr>
                <w:rFonts w:hint="eastAsia" w:ascii="宋体" w:hAnsi="宋体"/>
                <w:snapToGrid/>
                <w:spacing w:val="0"/>
                <w:kern w:val="2"/>
                <w:sz w:val="21"/>
                <w:szCs w:val="24"/>
              </w:rPr>
              <w:t>姓名</w:t>
            </w:r>
          </w:p>
        </w:tc>
        <w:tc>
          <w:tcPr>
            <w:tcW w:w="685"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性别</w:t>
            </w:r>
          </w:p>
        </w:tc>
        <w:tc>
          <w:tcPr>
            <w:tcW w:w="695"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年龄</w:t>
            </w:r>
          </w:p>
        </w:tc>
        <w:tc>
          <w:tcPr>
            <w:tcW w:w="834"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学历</w:t>
            </w:r>
          </w:p>
        </w:tc>
        <w:tc>
          <w:tcPr>
            <w:tcW w:w="106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职称</w:t>
            </w:r>
          </w:p>
        </w:tc>
        <w:tc>
          <w:tcPr>
            <w:tcW w:w="1235"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专业</w:t>
            </w:r>
          </w:p>
        </w:tc>
        <w:tc>
          <w:tcPr>
            <w:tcW w:w="1062"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经验年限</w:t>
            </w:r>
          </w:p>
        </w:tc>
        <w:tc>
          <w:tcPr>
            <w:tcW w:w="2204"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36" w:type="dxa"/>
            <w:tcBorders>
              <w:top w:val="double" w:color="auto" w:sz="4" w:space="0"/>
            </w:tcBorders>
            <w:vAlign w:val="center"/>
          </w:tcPr>
          <w:p>
            <w:pPr>
              <w:spacing w:line="400" w:lineRule="exact"/>
              <w:jc w:val="center"/>
              <w:rPr>
                <w:rFonts w:ascii="宋体" w:hAnsi="宋体"/>
              </w:rPr>
            </w:pPr>
          </w:p>
        </w:tc>
        <w:tc>
          <w:tcPr>
            <w:tcW w:w="1046" w:type="dxa"/>
            <w:tcBorders>
              <w:top w:val="double" w:color="auto" w:sz="4" w:space="0"/>
            </w:tcBorders>
            <w:vAlign w:val="center"/>
          </w:tcPr>
          <w:p>
            <w:pPr>
              <w:spacing w:line="400" w:lineRule="exact"/>
              <w:jc w:val="center"/>
              <w:rPr>
                <w:rFonts w:ascii="宋体" w:hAnsi="宋体"/>
              </w:rPr>
            </w:pPr>
          </w:p>
        </w:tc>
        <w:tc>
          <w:tcPr>
            <w:tcW w:w="685" w:type="dxa"/>
            <w:tcBorders>
              <w:top w:val="double" w:color="auto" w:sz="4" w:space="0"/>
            </w:tcBorders>
            <w:vAlign w:val="center"/>
          </w:tcPr>
          <w:p>
            <w:pPr>
              <w:spacing w:line="400" w:lineRule="exact"/>
              <w:jc w:val="center"/>
              <w:rPr>
                <w:rFonts w:ascii="宋体" w:hAnsi="宋体"/>
              </w:rPr>
            </w:pPr>
          </w:p>
        </w:tc>
        <w:tc>
          <w:tcPr>
            <w:tcW w:w="695" w:type="dxa"/>
            <w:tcBorders>
              <w:top w:val="double" w:color="auto" w:sz="4" w:space="0"/>
            </w:tcBorders>
            <w:vAlign w:val="center"/>
          </w:tcPr>
          <w:p>
            <w:pPr>
              <w:spacing w:line="400" w:lineRule="exact"/>
              <w:jc w:val="center"/>
              <w:rPr>
                <w:rFonts w:ascii="宋体" w:hAnsi="宋体"/>
              </w:rPr>
            </w:pPr>
          </w:p>
        </w:tc>
        <w:tc>
          <w:tcPr>
            <w:tcW w:w="834" w:type="dxa"/>
            <w:tcBorders>
              <w:top w:val="double" w:color="auto" w:sz="4" w:space="0"/>
            </w:tcBorders>
            <w:vAlign w:val="center"/>
          </w:tcPr>
          <w:p>
            <w:pPr>
              <w:spacing w:line="400" w:lineRule="exact"/>
              <w:jc w:val="center"/>
              <w:rPr>
                <w:rFonts w:ascii="宋体" w:hAnsi="宋体"/>
              </w:rPr>
            </w:pPr>
          </w:p>
        </w:tc>
        <w:tc>
          <w:tcPr>
            <w:tcW w:w="1066" w:type="dxa"/>
            <w:tcBorders>
              <w:top w:val="double" w:color="auto" w:sz="4" w:space="0"/>
            </w:tcBorders>
            <w:vAlign w:val="center"/>
          </w:tcPr>
          <w:p>
            <w:pPr>
              <w:spacing w:line="400" w:lineRule="exact"/>
              <w:jc w:val="center"/>
              <w:rPr>
                <w:rFonts w:ascii="宋体" w:hAnsi="宋体"/>
              </w:rPr>
            </w:pPr>
          </w:p>
        </w:tc>
        <w:tc>
          <w:tcPr>
            <w:tcW w:w="1235" w:type="dxa"/>
            <w:tcBorders>
              <w:top w:val="double" w:color="auto" w:sz="4" w:space="0"/>
            </w:tcBorders>
            <w:vAlign w:val="center"/>
          </w:tcPr>
          <w:p>
            <w:pPr>
              <w:spacing w:line="400" w:lineRule="exact"/>
              <w:jc w:val="center"/>
              <w:rPr>
                <w:rFonts w:ascii="宋体" w:hAnsi="宋体"/>
              </w:rPr>
            </w:pPr>
          </w:p>
        </w:tc>
        <w:tc>
          <w:tcPr>
            <w:tcW w:w="1062" w:type="dxa"/>
            <w:tcBorders>
              <w:top w:val="double" w:color="auto" w:sz="4" w:space="0"/>
            </w:tcBorders>
            <w:vAlign w:val="center"/>
          </w:tcPr>
          <w:p>
            <w:pPr>
              <w:spacing w:line="400" w:lineRule="exact"/>
              <w:jc w:val="center"/>
              <w:rPr>
                <w:rFonts w:ascii="宋体" w:hAnsi="宋体"/>
              </w:rPr>
            </w:pPr>
          </w:p>
        </w:tc>
        <w:tc>
          <w:tcPr>
            <w:tcW w:w="2204" w:type="dxa"/>
            <w:tcBorders>
              <w:top w:val="double" w:color="auto" w:sz="4" w:space="0"/>
            </w:tcBorders>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36" w:type="dxa"/>
            <w:vAlign w:val="center"/>
          </w:tcPr>
          <w:p>
            <w:pPr>
              <w:spacing w:line="400" w:lineRule="exact"/>
              <w:jc w:val="center"/>
              <w:rPr>
                <w:rFonts w:ascii="宋体" w:hAnsi="宋体"/>
              </w:rPr>
            </w:pPr>
          </w:p>
        </w:tc>
        <w:tc>
          <w:tcPr>
            <w:tcW w:w="1046" w:type="dxa"/>
            <w:vAlign w:val="center"/>
          </w:tcPr>
          <w:p>
            <w:pPr>
              <w:spacing w:line="400" w:lineRule="exact"/>
              <w:jc w:val="center"/>
              <w:rPr>
                <w:rFonts w:ascii="宋体" w:hAnsi="宋体"/>
              </w:rPr>
            </w:pPr>
          </w:p>
        </w:tc>
        <w:tc>
          <w:tcPr>
            <w:tcW w:w="685" w:type="dxa"/>
            <w:vAlign w:val="center"/>
          </w:tcPr>
          <w:p>
            <w:pPr>
              <w:spacing w:line="400" w:lineRule="exact"/>
              <w:jc w:val="center"/>
              <w:rPr>
                <w:rFonts w:ascii="宋体" w:hAnsi="宋体"/>
              </w:rPr>
            </w:pPr>
          </w:p>
        </w:tc>
        <w:tc>
          <w:tcPr>
            <w:tcW w:w="695" w:type="dxa"/>
            <w:vAlign w:val="center"/>
          </w:tcPr>
          <w:p>
            <w:pPr>
              <w:spacing w:line="400" w:lineRule="exact"/>
              <w:jc w:val="center"/>
              <w:rPr>
                <w:rFonts w:ascii="宋体" w:hAnsi="宋体"/>
              </w:rPr>
            </w:pPr>
          </w:p>
        </w:tc>
        <w:tc>
          <w:tcPr>
            <w:tcW w:w="834" w:type="dxa"/>
            <w:vAlign w:val="center"/>
          </w:tcPr>
          <w:p>
            <w:pPr>
              <w:spacing w:line="400" w:lineRule="exact"/>
              <w:jc w:val="center"/>
              <w:rPr>
                <w:rFonts w:ascii="宋体" w:hAnsi="宋体"/>
              </w:rPr>
            </w:pPr>
          </w:p>
        </w:tc>
        <w:tc>
          <w:tcPr>
            <w:tcW w:w="1066" w:type="dxa"/>
            <w:vAlign w:val="center"/>
          </w:tcPr>
          <w:p>
            <w:pPr>
              <w:spacing w:line="400" w:lineRule="exact"/>
              <w:jc w:val="center"/>
              <w:rPr>
                <w:rFonts w:ascii="宋体" w:hAnsi="宋体"/>
              </w:rPr>
            </w:pPr>
          </w:p>
        </w:tc>
        <w:tc>
          <w:tcPr>
            <w:tcW w:w="1235" w:type="dxa"/>
            <w:vAlign w:val="center"/>
          </w:tcPr>
          <w:p>
            <w:pPr>
              <w:spacing w:line="400" w:lineRule="exact"/>
              <w:jc w:val="center"/>
              <w:rPr>
                <w:rFonts w:ascii="宋体" w:hAnsi="宋体"/>
              </w:rPr>
            </w:pPr>
          </w:p>
        </w:tc>
        <w:tc>
          <w:tcPr>
            <w:tcW w:w="1062" w:type="dxa"/>
            <w:vAlign w:val="center"/>
          </w:tcPr>
          <w:p>
            <w:pPr>
              <w:spacing w:line="400" w:lineRule="exact"/>
              <w:jc w:val="center"/>
              <w:rPr>
                <w:rFonts w:ascii="宋体" w:hAnsi="宋体"/>
              </w:rPr>
            </w:pPr>
          </w:p>
        </w:tc>
        <w:tc>
          <w:tcPr>
            <w:tcW w:w="2204"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36" w:type="dxa"/>
            <w:vAlign w:val="center"/>
          </w:tcPr>
          <w:p>
            <w:pPr>
              <w:spacing w:line="400" w:lineRule="exact"/>
              <w:jc w:val="center"/>
              <w:rPr>
                <w:rFonts w:ascii="宋体" w:hAnsi="宋体"/>
              </w:rPr>
            </w:pPr>
          </w:p>
        </w:tc>
        <w:tc>
          <w:tcPr>
            <w:tcW w:w="1046" w:type="dxa"/>
            <w:vAlign w:val="center"/>
          </w:tcPr>
          <w:p>
            <w:pPr>
              <w:spacing w:line="400" w:lineRule="exact"/>
              <w:jc w:val="center"/>
              <w:rPr>
                <w:rFonts w:ascii="宋体" w:hAnsi="宋体"/>
              </w:rPr>
            </w:pPr>
          </w:p>
        </w:tc>
        <w:tc>
          <w:tcPr>
            <w:tcW w:w="685" w:type="dxa"/>
            <w:vAlign w:val="center"/>
          </w:tcPr>
          <w:p>
            <w:pPr>
              <w:spacing w:line="400" w:lineRule="exact"/>
              <w:jc w:val="center"/>
              <w:rPr>
                <w:rFonts w:ascii="宋体" w:hAnsi="宋体"/>
              </w:rPr>
            </w:pPr>
          </w:p>
        </w:tc>
        <w:tc>
          <w:tcPr>
            <w:tcW w:w="695" w:type="dxa"/>
            <w:vAlign w:val="center"/>
          </w:tcPr>
          <w:p>
            <w:pPr>
              <w:spacing w:line="400" w:lineRule="exact"/>
              <w:jc w:val="center"/>
              <w:rPr>
                <w:rFonts w:ascii="宋体" w:hAnsi="宋体"/>
              </w:rPr>
            </w:pPr>
          </w:p>
        </w:tc>
        <w:tc>
          <w:tcPr>
            <w:tcW w:w="834" w:type="dxa"/>
            <w:vAlign w:val="center"/>
          </w:tcPr>
          <w:p>
            <w:pPr>
              <w:spacing w:line="400" w:lineRule="exact"/>
              <w:jc w:val="center"/>
              <w:rPr>
                <w:rFonts w:ascii="宋体" w:hAnsi="宋体"/>
              </w:rPr>
            </w:pPr>
          </w:p>
        </w:tc>
        <w:tc>
          <w:tcPr>
            <w:tcW w:w="1066" w:type="dxa"/>
            <w:vAlign w:val="center"/>
          </w:tcPr>
          <w:p>
            <w:pPr>
              <w:spacing w:line="400" w:lineRule="exact"/>
              <w:jc w:val="center"/>
              <w:rPr>
                <w:rFonts w:ascii="宋体" w:hAnsi="宋体"/>
              </w:rPr>
            </w:pPr>
          </w:p>
        </w:tc>
        <w:tc>
          <w:tcPr>
            <w:tcW w:w="1235" w:type="dxa"/>
            <w:vAlign w:val="center"/>
          </w:tcPr>
          <w:p>
            <w:pPr>
              <w:spacing w:line="400" w:lineRule="exact"/>
              <w:jc w:val="center"/>
              <w:rPr>
                <w:rFonts w:ascii="宋体" w:hAnsi="宋体"/>
              </w:rPr>
            </w:pPr>
          </w:p>
        </w:tc>
        <w:tc>
          <w:tcPr>
            <w:tcW w:w="1062" w:type="dxa"/>
            <w:vAlign w:val="center"/>
          </w:tcPr>
          <w:p>
            <w:pPr>
              <w:spacing w:line="400" w:lineRule="exact"/>
              <w:jc w:val="center"/>
              <w:rPr>
                <w:rFonts w:ascii="宋体" w:hAnsi="宋体"/>
              </w:rPr>
            </w:pPr>
          </w:p>
        </w:tc>
        <w:tc>
          <w:tcPr>
            <w:tcW w:w="2204"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36" w:type="dxa"/>
            <w:vAlign w:val="center"/>
          </w:tcPr>
          <w:p>
            <w:pPr>
              <w:spacing w:line="400" w:lineRule="exact"/>
              <w:jc w:val="center"/>
              <w:rPr>
                <w:rFonts w:ascii="宋体" w:hAnsi="宋体"/>
              </w:rPr>
            </w:pPr>
          </w:p>
        </w:tc>
        <w:tc>
          <w:tcPr>
            <w:tcW w:w="1046" w:type="dxa"/>
            <w:vAlign w:val="center"/>
          </w:tcPr>
          <w:p>
            <w:pPr>
              <w:spacing w:line="400" w:lineRule="exact"/>
              <w:jc w:val="center"/>
              <w:rPr>
                <w:rFonts w:ascii="宋体" w:hAnsi="宋体"/>
              </w:rPr>
            </w:pPr>
          </w:p>
        </w:tc>
        <w:tc>
          <w:tcPr>
            <w:tcW w:w="685" w:type="dxa"/>
            <w:vAlign w:val="center"/>
          </w:tcPr>
          <w:p>
            <w:pPr>
              <w:spacing w:line="400" w:lineRule="exact"/>
              <w:jc w:val="center"/>
              <w:rPr>
                <w:rFonts w:ascii="宋体" w:hAnsi="宋体"/>
              </w:rPr>
            </w:pPr>
          </w:p>
        </w:tc>
        <w:tc>
          <w:tcPr>
            <w:tcW w:w="695" w:type="dxa"/>
            <w:vAlign w:val="center"/>
          </w:tcPr>
          <w:p>
            <w:pPr>
              <w:spacing w:line="400" w:lineRule="exact"/>
              <w:jc w:val="center"/>
              <w:rPr>
                <w:rFonts w:ascii="宋体" w:hAnsi="宋体"/>
              </w:rPr>
            </w:pPr>
          </w:p>
        </w:tc>
        <w:tc>
          <w:tcPr>
            <w:tcW w:w="834" w:type="dxa"/>
            <w:vAlign w:val="center"/>
          </w:tcPr>
          <w:p>
            <w:pPr>
              <w:spacing w:line="400" w:lineRule="exact"/>
              <w:jc w:val="center"/>
              <w:rPr>
                <w:rFonts w:ascii="宋体" w:hAnsi="宋体"/>
              </w:rPr>
            </w:pPr>
          </w:p>
        </w:tc>
        <w:tc>
          <w:tcPr>
            <w:tcW w:w="1066" w:type="dxa"/>
            <w:vAlign w:val="center"/>
          </w:tcPr>
          <w:p>
            <w:pPr>
              <w:spacing w:line="400" w:lineRule="exact"/>
              <w:jc w:val="center"/>
              <w:rPr>
                <w:rFonts w:ascii="宋体" w:hAnsi="宋体"/>
              </w:rPr>
            </w:pPr>
          </w:p>
        </w:tc>
        <w:tc>
          <w:tcPr>
            <w:tcW w:w="1235" w:type="dxa"/>
            <w:vAlign w:val="center"/>
          </w:tcPr>
          <w:p>
            <w:pPr>
              <w:spacing w:line="400" w:lineRule="exact"/>
              <w:jc w:val="center"/>
              <w:rPr>
                <w:rFonts w:ascii="宋体" w:hAnsi="宋体"/>
              </w:rPr>
            </w:pPr>
          </w:p>
        </w:tc>
        <w:tc>
          <w:tcPr>
            <w:tcW w:w="1062" w:type="dxa"/>
            <w:vAlign w:val="center"/>
          </w:tcPr>
          <w:p>
            <w:pPr>
              <w:spacing w:line="400" w:lineRule="exact"/>
              <w:jc w:val="center"/>
              <w:rPr>
                <w:rFonts w:ascii="宋体" w:hAnsi="宋体"/>
              </w:rPr>
            </w:pPr>
          </w:p>
        </w:tc>
        <w:tc>
          <w:tcPr>
            <w:tcW w:w="2204" w:type="dxa"/>
            <w:vAlign w:val="center"/>
          </w:tcPr>
          <w:p>
            <w:pPr>
              <w:spacing w:line="400" w:lineRule="exact"/>
              <w:jc w:val="center"/>
              <w:rPr>
                <w:rFonts w:ascii="宋体" w:hAnsi="宋体"/>
              </w:rPr>
            </w:pPr>
          </w:p>
        </w:tc>
      </w:tr>
    </w:tbl>
    <w:p>
      <w:pPr>
        <w:spacing w:line="500" w:lineRule="exact"/>
        <w:rPr>
          <w:rFonts w:ascii="宋体" w:hAnsi="宋体"/>
          <w:bCs/>
        </w:rPr>
      </w:pPr>
      <w:r>
        <w:rPr>
          <w:rFonts w:hint="eastAsia" w:ascii="宋体" w:hAnsi="宋体"/>
          <w:bCs/>
        </w:rPr>
        <w:t>备注：附上以上人员的学历、职称等证明文件复印件。</w:t>
      </w:r>
    </w:p>
    <w:p>
      <w:pPr>
        <w:spacing w:line="500" w:lineRule="exact"/>
        <w:ind w:firstLine="436" w:firstLineChars="200"/>
        <w:rPr>
          <w:spacing w:val="4"/>
        </w:rPr>
      </w:pPr>
    </w:p>
    <w:p>
      <w:pPr>
        <w:spacing w:line="500" w:lineRule="exact"/>
        <w:ind w:firstLine="436" w:firstLineChars="200"/>
        <w:rPr>
          <w:rFonts w:ascii="宋体" w:hAnsi="宋体"/>
          <w:u w:val="single"/>
        </w:rPr>
      </w:pPr>
      <w:r>
        <w:rPr>
          <w:rFonts w:hint="eastAsia"/>
          <w:spacing w:val="4"/>
        </w:rPr>
        <w:t>响应供应商名称（盖公章）：</w:t>
      </w:r>
    </w:p>
    <w:p>
      <w:pPr>
        <w:spacing w:line="520" w:lineRule="exact"/>
        <w:ind w:firstLine="436" w:firstLineChars="200"/>
        <w:rPr>
          <w:spacing w:val="4"/>
        </w:rPr>
      </w:pPr>
      <w:r>
        <w:rPr>
          <w:rFonts w:hint="eastAsia"/>
          <w:spacing w:val="4"/>
        </w:rPr>
        <w:t>日期：</w:t>
      </w:r>
    </w:p>
    <w:p>
      <w:pPr>
        <w:pStyle w:val="3"/>
        <w:adjustRightInd w:val="0"/>
        <w:snapToGrid w:val="0"/>
        <w:spacing w:beforeLines="50" w:afterLines="50" w:line="360" w:lineRule="auto"/>
        <w:jc w:val="center"/>
        <w:rPr>
          <w:b w:val="0"/>
        </w:rPr>
      </w:pPr>
      <w:r>
        <w:rPr>
          <w:rFonts w:ascii="宋体"/>
        </w:rPr>
        <w:br w:type="page"/>
      </w:r>
      <w:r>
        <w:rPr>
          <w:rFonts w:hint="eastAsia"/>
          <w:b w:val="0"/>
        </w:rPr>
        <w:t>合同条款响应一览表</w:t>
      </w:r>
    </w:p>
    <w:p>
      <w:pPr>
        <w:spacing w:line="400" w:lineRule="exact"/>
        <w:ind w:left="945" w:hanging="945" w:hangingChars="450"/>
        <w:rPr>
          <w:rFonts w:ascii="宋体" w:hAnsi="宋体"/>
        </w:rPr>
      </w:pPr>
      <w:r>
        <w:rPr>
          <w:rFonts w:hint="eastAsia" w:ascii="宋体" w:hAnsi="宋体"/>
        </w:rPr>
        <w:t>说明：响应供应商必须对应谈判文件的</w:t>
      </w:r>
      <w:r>
        <w:rPr>
          <w:rFonts w:hint="eastAsia"/>
        </w:rPr>
        <w:t>合同</w:t>
      </w:r>
      <w:r>
        <w:rPr>
          <w:rFonts w:hint="eastAsia" w:ascii="宋体" w:hAnsi="宋体"/>
        </w:rPr>
        <w:t>条款逐条应答并按要求填写下表。</w:t>
      </w:r>
    </w:p>
    <w:p>
      <w:pPr>
        <w:spacing w:line="400" w:lineRule="exact"/>
        <w:ind w:left="945" w:hanging="945" w:hangingChars="450"/>
        <w:rPr>
          <w:rFonts w:ascii="宋体" w:hAnsi="宋体"/>
        </w:rPr>
      </w:pPr>
      <w:r>
        <w:rPr>
          <w:rFonts w:hint="eastAsia" w:ascii="宋体" w:hAnsi="宋体"/>
        </w:rPr>
        <w:t>响应供应商名称：                             包组号：        项目编号：CLF0119SZ14QY80</w:t>
      </w:r>
    </w:p>
    <w:tbl>
      <w:tblPr>
        <w:tblStyle w:val="30"/>
        <w:tblW w:w="9507"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0"/>
        <w:gridCol w:w="3094"/>
        <w:gridCol w:w="2575"/>
        <w:gridCol w:w="30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740" w:type="dxa"/>
            <w:shd w:val="clear" w:color="auto" w:fill="EEECE1"/>
            <w:vAlign w:val="center"/>
          </w:tcPr>
          <w:p>
            <w:pPr>
              <w:ind w:left="-109" w:leftChars="-52" w:right="-113" w:rightChars="-54"/>
              <w:jc w:val="center"/>
              <w:rPr>
                <w:rFonts w:ascii="宋体" w:hAnsi="宋体"/>
                <w:szCs w:val="21"/>
              </w:rPr>
            </w:pPr>
            <w:r>
              <w:rPr>
                <w:rFonts w:hint="eastAsia" w:ascii="宋体" w:hAnsi="宋体"/>
                <w:szCs w:val="21"/>
              </w:rPr>
              <w:t>序号</w:t>
            </w:r>
          </w:p>
        </w:tc>
        <w:tc>
          <w:tcPr>
            <w:tcW w:w="3094" w:type="dxa"/>
            <w:shd w:val="clear" w:color="auto" w:fill="EEECE1"/>
            <w:vAlign w:val="center"/>
          </w:tcPr>
          <w:p>
            <w:pPr>
              <w:jc w:val="center"/>
              <w:rPr>
                <w:rFonts w:ascii="宋体" w:hAnsi="宋体"/>
                <w:szCs w:val="21"/>
              </w:rPr>
            </w:pPr>
            <w:r>
              <w:rPr>
                <w:rFonts w:hint="eastAsia" w:ascii="宋体" w:hAnsi="宋体"/>
                <w:szCs w:val="21"/>
              </w:rPr>
              <w:t>谈判文件条款描述</w:t>
            </w:r>
          </w:p>
        </w:tc>
        <w:tc>
          <w:tcPr>
            <w:tcW w:w="2575" w:type="dxa"/>
            <w:shd w:val="clear" w:color="auto" w:fill="EEECE1"/>
            <w:vAlign w:val="center"/>
          </w:tcPr>
          <w:p>
            <w:pPr>
              <w:jc w:val="center"/>
              <w:rPr>
                <w:rFonts w:ascii="宋体" w:hAnsi="宋体"/>
                <w:szCs w:val="21"/>
              </w:rPr>
            </w:pPr>
            <w:r>
              <w:rPr>
                <w:rFonts w:hint="eastAsia" w:ascii="宋体" w:hAnsi="宋体"/>
                <w:szCs w:val="21"/>
              </w:rPr>
              <w:t>响应供应商响应描述</w:t>
            </w:r>
          </w:p>
        </w:tc>
        <w:tc>
          <w:tcPr>
            <w:tcW w:w="3098" w:type="dxa"/>
            <w:shd w:val="clear" w:color="auto" w:fill="EEECE1"/>
            <w:vAlign w:val="center"/>
          </w:tcPr>
          <w:p>
            <w:pPr>
              <w:jc w:val="center"/>
              <w:rPr>
                <w:rFonts w:ascii="宋体" w:hAnsi="宋体"/>
                <w:szCs w:val="21"/>
              </w:rPr>
            </w:pPr>
            <w:r>
              <w:rPr>
                <w:rFonts w:hint="eastAsia" w:ascii="宋体" w:hAnsi="宋体"/>
                <w:szCs w:val="21"/>
              </w:rPr>
              <w:t>偏离情况说明</w:t>
            </w:r>
          </w:p>
          <w:p>
            <w:pPr>
              <w:jc w:val="center"/>
              <w:rPr>
                <w:rFonts w:ascii="宋体" w:hAnsi="宋体"/>
                <w:szCs w:val="21"/>
              </w:rPr>
            </w:pPr>
            <w:r>
              <w:rPr>
                <w:rFonts w:hint="eastAsia" w:ascii="宋体" w:hAnsi="宋体"/>
                <w:szCs w:val="21"/>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740" w:type="dxa"/>
            <w:vAlign w:val="center"/>
          </w:tcPr>
          <w:p>
            <w:pPr>
              <w:numPr>
                <w:ilvl w:val="0"/>
                <w:numId w:val="39"/>
              </w:numPr>
              <w:jc w:val="center"/>
              <w:rPr>
                <w:rFonts w:ascii="宋体" w:hAnsi="宋体"/>
                <w:szCs w:val="21"/>
              </w:rPr>
            </w:pPr>
          </w:p>
        </w:tc>
        <w:tc>
          <w:tcPr>
            <w:tcW w:w="3094" w:type="dxa"/>
            <w:vAlign w:val="center"/>
          </w:tcPr>
          <w:p>
            <w:pPr>
              <w:pStyle w:val="17"/>
              <w:tabs>
                <w:tab w:val="left" w:pos="2340"/>
              </w:tabs>
              <w:rPr>
                <w:rFonts w:hAnsi="宋体" w:cs="Courier New"/>
                <w:lang w:val="en-US"/>
              </w:rPr>
            </w:pPr>
          </w:p>
        </w:tc>
        <w:tc>
          <w:tcPr>
            <w:tcW w:w="2575" w:type="dxa"/>
            <w:vAlign w:val="center"/>
          </w:tcPr>
          <w:p>
            <w:pPr>
              <w:jc w:val="center"/>
              <w:rPr>
                <w:rFonts w:ascii="宋体" w:hAnsi="宋体"/>
                <w:szCs w:val="21"/>
              </w:rPr>
            </w:pPr>
          </w:p>
        </w:tc>
        <w:tc>
          <w:tcPr>
            <w:tcW w:w="309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740" w:type="dxa"/>
            <w:vAlign w:val="center"/>
          </w:tcPr>
          <w:p>
            <w:pPr>
              <w:numPr>
                <w:ilvl w:val="0"/>
                <w:numId w:val="39"/>
              </w:numPr>
              <w:jc w:val="center"/>
              <w:rPr>
                <w:rFonts w:ascii="宋体" w:hAnsi="宋体"/>
                <w:szCs w:val="21"/>
              </w:rPr>
            </w:pPr>
          </w:p>
        </w:tc>
        <w:tc>
          <w:tcPr>
            <w:tcW w:w="3094" w:type="dxa"/>
            <w:vAlign w:val="center"/>
          </w:tcPr>
          <w:p>
            <w:pPr>
              <w:rPr>
                <w:rFonts w:ascii="宋体" w:hAnsi="宋体"/>
                <w:snapToGrid w:val="0"/>
                <w:kern w:val="0"/>
                <w:szCs w:val="21"/>
              </w:rPr>
            </w:pPr>
          </w:p>
        </w:tc>
        <w:tc>
          <w:tcPr>
            <w:tcW w:w="2575" w:type="dxa"/>
            <w:vAlign w:val="center"/>
          </w:tcPr>
          <w:p>
            <w:pPr>
              <w:jc w:val="center"/>
              <w:rPr>
                <w:rFonts w:ascii="宋体" w:hAnsi="宋体"/>
                <w:szCs w:val="21"/>
              </w:rPr>
            </w:pPr>
          </w:p>
        </w:tc>
        <w:tc>
          <w:tcPr>
            <w:tcW w:w="309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740" w:type="dxa"/>
            <w:vAlign w:val="center"/>
          </w:tcPr>
          <w:p>
            <w:pPr>
              <w:numPr>
                <w:ilvl w:val="0"/>
                <w:numId w:val="39"/>
              </w:numPr>
              <w:jc w:val="center"/>
              <w:rPr>
                <w:rFonts w:ascii="宋体" w:hAnsi="宋体"/>
                <w:szCs w:val="21"/>
              </w:rPr>
            </w:pPr>
          </w:p>
        </w:tc>
        <w:tc>
          <w:tcPr>
            <w:tcW w:w="3094" w:type="dxa"/>
            <w:vAlign w:val="center"/>
          </w:tcPr>
          <w:p>
            <w:pPr>
              <w:rPr>
                <w:rFonts w:ascii="宋体" w:hAnsi="宋体"/>
                <w:snapToGrid w:val="0"/>
                <w:kern w:val="0"/>
                <w:szCs w:val="21"/>
              </w:rPr>
            </w:pPr>
          </w:p>
        </w:tc>
        <w:tc>
          <w:tcPr>
            <w:tcW w:w="2575" w:type="dxa"/>
            <w:vAlign w:val="center"/>
          </w:tcPr>
          <w:p>
            <w:pPr>
              <w:jc w:val="center"/>
              <w:rPr>
                <w:rFonts w:ascii="宋体" w:hAnsi="宋体"/>
                <w:szCs w:val="21"/>
              </w:rPr>
            </w:pPr>
          </w:p>
        </w:tc>
        <w:tc>
          <w:tcPr>
            <w:tcW w:w="309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40" w:type="dxa"/>
            <w:vAlign w:val="center"/>
          </w:tcPr>
          <w:p>
            <w:pPr>
              <w:numPr>
                <w:ilvl w:val="0"/>
                <w:numId w:val="39"/>
              </w:numPr>
              <w:jc w:val="center"/>
              <w:rPr>
                <w:rFonts w:ascii="宋体" w:hAnsi="宋体"/>
                <w:szCs w:val="21"/>
              </w:rPr>
            </w:pPr>
          </w:p>
        </w:tc>
        <w:tc>
          <w:tcPr>
            <w:tcW w:w="3094" w:type="dxa"/>
            <w:vAlign w:val="center"/>
          </w:tcPr>
          <w:p>
            <w:pPr>
              <w:rPr>
                <w:rFonts w:ascii="宋体" w:hAnsi="宋体"/>
                <w:snapToGrid w:val="0"/>
                <w:kern w:val="0"/>
                <w:szCs w:val="21"/>
              </w:rPr>
            </w:pPr>
          </w:p>
        </w:tc>
        <w:tc>
          <w:tcPr>
            <w:tcW w:w="2575" w:type="dxa"/>
            <w:vAlign w:val="center"/>
          </w:tcPr>
          <w:p>
            <w:pPr>
              <w:jc w:val="center"/>
              <w:rPr>
                <w:rFonts w:ascii="宋体" w:hAnsi="宋体"/>
                <w:szCs w:val="21"/>
              </w:rPr>
            </w:pPr>
          </w:p>
        </w:tc>
        <w:tc>
          <w:tcPr>
            <w:tcW w:w="309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740" w:type="dxa"/>
            <w:vAlign w:val="center"/>
          </w:tcPr>
          <w:p>
            <w:pPr>
              <w:numPr>
                <w:ilvl w:val="0"/>
                <w:numId w:val="39"/>
              </w:numPr>
              <w:jc w:val="center"/>
              <w:rPr>
                <w:rFonts w:ascii="宋体" w:hAnsi="宋体"/>
                <w:szCs w:val="21"/>
              </w:rPr>
            </w:pPr>
          </w:p>
        </w:tc>
        <w:tc>
          <w:tcPr>
            <w:tcW w:w="3094" w:type="dxa"/>
            <w:vAlign w:val="center"/>
          </w:tcPr>
          <w:p>
            <w:pPr>
              <w:rPr>
                <w:rFonts w:ascii="宋体" w:hAnsi="宋体"/>
                <w:snapToGrid w:val="0"/>
                <w:kern w:val="0"/>
                <w:szCs w:val="21"/>
              </w:rPr>
            </w:pPr>
          </w:p>
        </w:tc>
        <w:tc>
          <w:tcPr>
            <w:tcW w:w="2575" w:type="dxa"/>
            <w:vAlign w:val="center"/>
          </w:tcPr>
          <w:p>
            <w:pPr>
              <w:jc w:val="center"/>
              <w:rPr>
                <w:rFonts w:ascii="宋体" w:hAnsi="宋体"/>
                <w:szCs w:val="21"/>
              </w:rPr>
            </w:pPr>
          </w:p>
        </w:tc>
        <w:tc>
          <w:tcPr>
            <w:tcW w:w="309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740" w:type="dxa"/>
            <w:vAlign w:val="center"/>
          </w:tcPr>
          <w:p>
            <w:pPr>
              <w:numPr>
                <w:ilvl w:val="0"/>
                <w:numId w:val="39"/>
              </w:numPr>
              <w:jc w:val="center"/>
              <w:rPr>
                <w:rFonts w:ascii="宋体" w:hAnsi="宋体"/>
                <w:szCs w:val="21"/>
              </w:rPr>
            </w:pPr>
          </w:p>
        </w:tc>
        <w:tc>
          <w:tcPr>
            <w:tcW w:w="3094" w:type="dxa"/>
            <w:vAlign w:val="center"/>
          </w:tcPr>
          <w:p>
            <w:pPr>
              <w:rPr>
                <w:rFonts w:ascii="宋体" w:hAnsi="宋体"/>
                <w:snapToGrid w:val="0"/>
                <w:kern w:val="0"/>
                <w:szCs w:val="21"/>
              </w:rPr>
            </w:pPr>
          </w:p>
        </w:tc>
        <w:tc>
          <w:tcPr>
            <w:tcW w:w="2575" w:type="dxa"/>
            <w:vAlign w:val="center"/>
          </w:tcPr>
          <w:p>
            <w:pPr>
              <w:jc w:val="center"/>
              <w:rPr>
                <w:rFonts w:ascii="宋体" w:hAnsi="宋体"/>
                <w:szCs w:val="21"/>
              </w:rPr>
            </w:pPr>
          </w:p>
        </w:tc>
        <w:tc>
          <w:tcPr>
            <w:tcW w:w="309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740" w:type="dxa"/>
            <w:vAlign w:val="center"/>
          </w:tcPr>
          <w:p>
            <w:pPr>
              <w:numPr>
                <w:ilvl w:val="0"/>
                <w:numId w:val="39"/>
              </w:numPr>
              <w:jc w:val="center"/>
              <w:rPr>
                <w:rFonts w:ascii="宋体" w:hAnsi="宋体"/>
                <w:szCs w:val="21"/>
              </w:rPr>
            </w:pPr>
          </w:p>
        </w:tc>
        <w:tc>
          <w:tcPr>
            <w:tcW w:w="3094" w:type="dxa"/>
            <w:vAlign w:val="center"/>
          </w:tcPr>
          <w:p>
            <w:pPr>
              <w:rPr>
                <w:rFonts w:ascii="宋体" w:hAnsi="宋体"/>
                <w:snapToGrid w:val="0"/>
                <w:kern w:val="0"/>
                <w:szCs w:val="21"/>
              </w:rPr>
            </w:pPr>
          </w:p>
        </w:tc>
        <w:tc>
          <w:tcPr>
            <w:tcW w:w="2575" w:type="dxa"/>
            <w:vAlign w:val="center"/>
          </w:tcPr>
          <w:p>
            <w:pPr>
              <w:jc w:val="center"/>
              <w:rPr>
                <w:rFonts w:ascii="宋体" w:hAnsi="宋体"/>
                <w:szCs w:val="21"/>
              </w:rPr>
            </w:pPr>
          </w:p>
        </w:tc>
        <w:tc>
          <w:tcPr>
            <w:tcW w:w="309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740" w:type="dxa"/>
            <w:vAlign w:val="center"/>
          </w:tcPr>
          <w:p>
            <w:pPr>
              <w:numPr>
                <w:ilvl w:val="0"/>
                <w:numId w:val="39"/>
              </w:numPr>
              <w:jc w:val="center"/>
              <w:rPr>
                <w:rFonts w:ascii="宋体" w:hAnsi="宋体"/>
                <w:szCs w:val="21"/>
              </w:rPr>
            </w:pPr>
          </w:p>
        </w:tc>
        <w:tc>
          <w:tcPr>
            <w:tcW w:w="3094" w:type="dxa"/>
            <w:vAlign w:val="center"/>
          </w:tcPr>
          <w:p>
            <w:pPr>
              <w:rPr>
                <w:rFonts w:ascii="宋体" w:hAnsi="宋体"/>
                <w:snapToGrid w:val="0"/>
                <w:kern w:val="0"/>
                <w:szCs w:val="21"/>
              </w:rPr>
            </w:pPr>
          </w:p>
        </w:tc>
        <w:tc>
          <w:tcPr>
            <w:tcW w:w="2575" w:type="dxa"/>
            <w:vAlign w:val="center"/>
          </w:tcPr>
          <w:p>
            <w:pPr>
              <w:jc w:val="center"/>
              <w:rPr>
                <w:rFonts w:ascii="宋体" w:hAnsi="宋体"/>
                <w:szCs w:val="21"/>
              </w:rPr>
            </w:pPr>
          </w:p>
        </w:tc>
        <w:tc>
          <w:tcPr>
            <w:tcW w:w="309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40" w:type="dxa"/>
            <w:vAlign w:val="center"/>
          </w:tcPr>
          <w:p>
            <w:pPr>
              <w:numPr>
                <w:ilvl w:val="0"/>
                <w:numId w:val="39"/>
              </w:numPr>
              <w:jc w:val="center"/>
              <w:rPr>
                <w:rFonts w:ascii="宋体" w:hAnsi="宋体"/>
                <w:szCs w:val="21"/>
              </w:rPr>
            </w:pPr>
          </w:p>
        </w:tc>
        <w:tc>
          <w:tcPr>
            <w:tcW w:w="3094" w:type="dxa"/>
            <w:vAlign w:val="center"/>
          </w:tcPr>
          <w:p>
            <w:pPr>
              <w:rPr>
                <w:rFonts w:ascii="宋体" w:hAnsi="宋体"/>
                <w:snapToGrid w:val="0"/>
                <w:kern w:val="0"/>
                <w:szCs w:val="21"/>
              </w:rPr>
            </w:pPr>
          </w:p>
        </w:tc>
        <w:tc>
          <w:tcPr>
            <w:tcW w:w="2575" w:type="dxa"/>
            <w:vAlign w:val="center"/>
          </w:tcPr>
          <w:p>
            <w:pPr>
              <w:jc w:val="center"/>
              <w:rPr>
                <w:rFonts w:ascii="宋体" w:hAnsi="宋体"/>
                <w:szCs w:val="21"/>
              </w:rPr>
            </w:pPr>
          </w:p>
        </w:tc>
        <w:tc>
          <w:tcPr>
            <w:tcW w:w="309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740" w:type="dxa"/>
            <w:vAlign w:val="center"/>
          </w:tcPr>
          <w:p>
            <w:pPr>
              <w:numPr>
                <w:ilvl w:val="0"/>
                <w:numId w:val="39"/>
              </w:numPr>
              <w:ind w:right="-122" w:rightChars="-58"/>
              <w:jc w:val="center"/>
              <w:rPr>
                <w:rFonts w:ascii="宋体" w:hAnsi="宋体"/>
                <w:szCs w:val="21"/>
              </w:rPr>
            </w:pPr>
          </w:p>
        </w:tc>
        <w:tc>
          <w:tcPr>
            <w:tcW w:w="3094" w:type="dxa"/>
            <w:vAlign w:val="center"/>
          </w:tcPr>
          <w:p>
            <w:pPr>
              <w:rPr>
                <w:rFonts w:ascii="宋体" w:hAnsi="宋体"/>
                <w:snapToGrid w:val="0"/>
                <w:kern w:val="0"/>
                <w:szCs w:val="21"/>
              </w:rPr>
            </w:pPr>
          </w:p>
        </w:tc>
        <w:tc>
          <w:tcPr>
            <w:tcW w:w="2575" w:type="dxa"/>
            <w:vAlign w:val="center"/>
          </w:tcPr>
          <w:p>
            <w:pPr>
              <w:jc w:val="center"/>
              <w:rPr>
                <w:rFonts w:ascii="宋体" w:hAnsi="宋体"/>
                <w:szCs w:val="21"/>
              </w:rPr>
            </w:pPr>
          </w:p>
        </w:tc>
        <w:tc>
          <w:tcPr>
            <w:tcW w:w="3098" w:type="dxa"/>
            <w:vAlign w:val="center"/>
          </w:tcPr>
          <w:p>
            <w:pPr>
              <w:jc w:val="center"/>
              <w:rPr>
                <w:rFonts w:ascii="宋体" w:hAnsi="宋体"/>
                <w:szCs w:val="21"/>
              </w:rPr>
            </w:pPr>
          </w:p>
        </w:tc>
      </w:tr>
    </w:tbl>
    <w:p>
      <w:pPr>
        <w:spacing w:line="500" w:lineRule="exact"/>
        <w:rPr>
          <w:rFonts w:ascii="宋体" w:hAnsi="宋体"/>
        </w:rPr>
      </w:pPr>
    </w:p>
    <w:p>
      <w:pPr>
        <w:spacing w:line="500" w:lineRule="exact"/>
        <w:rPr>
          <w:rFonts w:ascii="宋体" w:hAnsi="宋体"/>
          <w:u w:val="single"/>
        </w:rPr>
      </w:pPr>
      <w:r>
        <w:rPr>
          <w:rFonts w:hint="eastAsia" w:ascii="宋体" w:hAnsi="宋体"/>
        </w:rPr>
        <w:t>响应供应商</w:t>
      </w:r>
      <w:r>
        <w:rPr>
          <w:rFonts w:hint="eastAsia"/>
        </w:rPr>
        <w:t>名称</w:t>
      </w:r>
      <w:r>
        <w:rPr>
          <w:rFonts w:hint="eastAsia" w:ascii="宋体" w:hAnsi="宋体"/>
        </w:rPr>
        <w:t>（盖公章）：</w:t>
      </w:r>
    </w:p>
    <w:p>
      <w:pPr>
        <w:spacing w:line="500" w:lineRule="exact"/>
      </w:pPr>
      <w:r>
        <w:rPr>
          <w:rFonts w:hint="eastAsia"/>
        </w:rPr>
        <w:t>日期：</w:t>
      </w:r>
    </w:p>
    <w:p>
      <w:pPr>
        <w:spacing w:line="400" w:lineRule="exact"/>
        <w:rPr>
          <w:rFonts w:ascii="楷体_GB2312" w:eastAsia="楷体_GB2312"/>
          <w:sz w:val="28"/>
        </w:rPr>
      </w:pPr>
    </w:p>
    <w:p>
      <w:pPr>
        <w:spacing w:line="400" w:lineRule="exact"/>
      </w:pPr>
    </w:p>
    <w:p>
      <w:pPr>
        <w:pStyle w:val="3"/>
        <w:adjustRightInd w:val="0"/>
        <w:snapToGrid w:val="0"/>
        <w:spacing w:beforeLines="50" w:afterLines="50" w:line="360" w:lineRule="auto"/>
        <w:jc w:val="center"/>
        <w:rPr>
          <w:b w:val="0"/>
        </w:rPr>
      </w:pPr>
      <w:r>
        <w:br w:type="page"/>
      </w:r>
      <w:r>
        <w:rPr>
          <w:rFonts w:hint="eastAsia"/>
          <w:b w:val="0"/>
        </w:rPr>
        <w:t>政策</w:t>
      </w:r>
      <w:r>
        <w:rPr>
          <w:rFonts w:hint="eastAsia" w:hAnsi="宋体"/>
          <w:b w:val="0"/>
          <w:bCs w:val="0"/>
        </w:rPr>
        <w:t>功能</w:t>
      </w:r>
      <w:r>
        <w:rPr>
          <w:rFonts w:hint="eastAsia"/>
          <w:b w:val="0"/>
        </w:rPr>
        <w:t>情况（如有）</w:t>
      </w:r>
    </w:p>
    <w:p>
      <w:pPr>
        <w:autoSpaceDE w:val="0"/>
        <w:autoSpaceDN w:val="0"/>
        <w:adjustRightInd w:val="0"/>
        <w:jc w:val="center"/>
        <w:rPr>
          <w:b/>
        </w:rPr>
      </w:pPr>
      <w:r>
        <w:rPr>
          <w:rFonts w:hint="eastAsia"/>
          <w:b/>
        </w:rPr>
        <w:t>包组号：</w:t>
      </w:r>
    </w:p>
    <w:tbl>
      <w:tblPr>
        <w:tblStyle w:val="30"/>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15"/>
        <w:gridCol w:w="1343"/>
        <w:gridCol w:w="2552"/>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7"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类别</w:t>
            </w:r>
          </w:p>
        </w:tc>
        <w:tc>
          <w:tcPr>
            <w:tcW w:w="2015"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投标产品</w:t>
            </w:r>
          </w:p>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（规格型号）</w:t>
            </w:r>
          </w:p>
        </w:tc>
        <w:tc>
          <w:tcPr>
            <w:tcW w:w="1343"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制造商</w:t>
            </w:r>
          </w:p>
        </w:tc>
        <w:tc>
          <w:tcPr>
            <w:tcW w:w="2552"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认证证书号</w:t>
            </w:r>
          </w:p>
        </w:tc>
        <w:tc>
          <w:tcPr>
            <w:tcW w:w="1311"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金额</w:t>
            </w:r>
          </w:p>
        </w:tc>
        <w:tc>
          <w:tcPr>
            <w:tcW w:w="1311"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金额占总报价比重（累计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07" w:type="dxa"/>
            <w:vMerge w:val="restart"/>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节能产品</w:t>
            </w:r>
          </w:p>
        </w:tc>
        <w:tc>
          <w:tcPr>
            <w:tcW w:w="2015" w:type="dxa"/>
            <w:vAlign w:val="center"/>
          </w:tcPr>
          <w:p>
            <w:pPr>
              <w:tabs>
                <w:tab w:val="left" w:pos="1260"/>
              </w:tabs>
              <w:jc w:val="center"/>
              <w:rPr>
                <w:rFonts w:ascii="宋体" w:hAnsi="宋体"/>
                <w:szCs w:val="21"/>
                <w:lang w:val="en-GB"/>
              </w:rPr>
            </w:pPr>
          </w:p>
        </w:tc>
        <w:tc>
          <w:tcPr>
            <w:tcW w:w="1343" w:type="dxa"/>
            <w:vAlign w:val="center"/>
          </w:tcPr>
          <w:p>
            <w:pPr>
              <w:tabs>
                <w:tab w:val="left" w:pos="1260"/>
              </w:tabs>
              <w:jc w:val="center"/>
              <w:rPr>
                <w:rFonts w:ascii="宋体" w:hAnsi="宋体"/>
                <w:szCs w:val="21"/>
                <w:lang w:val="en-GB"/>
              </w:rPr>
            </w:pPr>
          </w:p>
        </w:tc>
        <w:tc>
          <w:tcPr>
            <w:tcW w:w="2552"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07" w:type="dxa"/>
            <w:vMerge w:val="continue"/>
            <w:vAlign w:val="center"/>
          </w:tcPr>
          <w:p>
            <w:pPr>
              <w:tabs>
                <w:tab w:val="left" w:pos="1260"/>
              </w:tabs>
              <w:jc w:val="center"/>
              <w:rPr>
                <w:rFonts w:ascii="宋体" w:hAnsi="宋体"/>
                <w:b/>
                <w:szCs w:val="21"/>
                <w:lang w:val="en-GB"/>
              </w:rPr>
            </w:pPr>
          </w:p>
        </w:tc>
        <w:tc>
          <w:tcPr>
            <w:tcW w:w="2015" w:type="dxa"/>
            <w:vAlign w:val="center"/>
          </w:tcPr>
          <w:p>
            <w:pPr>
              <w:tabs>
                <w:tab w:val="left" w:pos="1260"/>
              </w:tabs>
              <w:jc w:val="center"/>
              <w:rPr>
                <w:rFonts w:ascii="宋体" w:hAnsi="宋体"/>
                <w:szCs w:val="21"/>
                <w:lang w:val="en-GB"/>
              </w:rPr>
            </w:pPr>
          </w:p>
        </w:tc>
        <w:tc>
          <w:tcPr>
            <w:tcW w:w="1343" w:type="dxa"/>
            <w:vAlign w:val="center"/>
          </w:tcPr>
          <w:p>
            <w:pPr>
              <w:tabs>
                <w:tab w:val="left" w:pos="1260"/>
              </w:tabs>
              <w:jc w:val="center"/>
              <w:rPr>
                <w:rFonts w:ascii="宋体" w:hAnsi="宋体"/>
                <w:szCs w:val="21"/>
                <w:lang w:val="en-GB"/>
              </w:rPr>
            </w:pPr>
          </w:p>
        </w:tc>
        <w:tc>
          <w:tcPr>
            <w:tcW w:w="2552"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07" w:type="dxa"/>
            <w:vMerge w:val="continue"/>
            <w:vAlign w:val="center"/>
          </w:tcPr>
          <w:p>
            <w:pPr>
              <w:tabs>
                <w:tab w:val="left" w:pos="1260"/>
              </w:tabs>
              <w:jc w:val="center"/>
              <w:rPr>
                <w:rFonts w:ascii="宋体" w:hAnsi="宋体"/>
                <w:b/>
                <w:szCs w:val="21"/>
                <w:lang w:val="en-GB"/>
              </w:rPr>
            </w:pPr>
          </w:p>
        </w:tc>
        <w:tc>
          <w:tcPr>
            <w:tcW w:w="5910" w:type="dxa"/>
            <w:gridSpan w:val="3"/>
            <w:vAlign w:val="center"/>
          </w:tcPr>
          <w:p>
            <w:pPr>
              <w:tabs>
                <w:tab w:val="left" w:pos="1260"/>
              </w:tabs>
              <w:jc w:val="center"/>
              <w:rPr>
                <w:rFonts w:ascii="宋体" w:hAnsi="宋体"/>
                <w:szCs w:val="21"/>
                <w:lang w:val="en-GB"/>
              </w:rPr>
            </w:pPr>
            <w:r>
              <w:rPr>
                <w:rFonts w:hint="eastAsia" w:ascii="宋体" w:hAnsi="宋体"/>
                <w:b/>
                <w:szCs w:val="21"/>
                <w:lang w:val="en-GB"/>
              </w:rPr>
              <w:t>合计</w:t>
            </w: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07" w:type="dxa"/>
            <w:vMerge w:val="restart"/>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环保标志产品</w:t>
            </w:r>
          </w:p>
        </w:tc>
        <w:tc>
          <w:tcPr>
            <w:tcW w:w="2015" w:type="dxa"/>
            <w:vAlign w:val="center"/>
          </w:tcPr>
          <w:p>
            <w:pPr>
              <w:tabs>
                <w:tab w:val="left" w:pos="1260"/>
              </w:tabs>
              <w:jc w:val="center"/>
              <w:rPr>
                <w:rFonts w:ascii="宋体" w:hAnsi="宋体"/>
                <w:szCs w:val="21"/>
                <w:lang w:val="en-GB"/>
              </w:rPr>
            </w:pPr>
          </w:p>
        </w:tc>
        <w:tc>
          <w:tcPr>
            <w:tcW w:w="1343" w:type="dxa"/>
            <w:vAlign w:val="center"/>
          </w:tcPr>
          <w:p>
            <w:pPr>
              <w:tabs>
                <w:tab w:val="left" w:pos="1260"/>
              </w:tabs>
              <w:jc w:val="center"/>
              <w:rPr>
                <w:rFonts w:ascii="宋体" w:hAnsi="宋体"/>
                <w:szCs w:val="21"/>
                <w:lang w:val="en-GB"/>
              </w:rPr>
            </w:pPr>
          </w:p>
        </w:tc>
        <w:tc>
          <w:tcPr>
            <w:tcW w:w="2552"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07" w:type="dxa"/>
            <w:vMerge w:val="continue"/>
            <w:vAlign w:val="center"/>
          </w:tcPr>
          <w:p>
            <w:pPr>
              <w:tabs>
                <w:tab w:val="left" w:pos="1260"/>
              </w:tabs>
              <w:ind w:left="-86" w:leftChars="-41" w:right="-71" w:rightChars="-34"/>
              <w:jc w:val="center"/>
              <w:rPr>
                <w:rFonts w:ascii="宋体" w:hAnsi="宋体"/>
                <w:b/>
                <w:szCs w:val="21"/>
                <w:lang w:val="en-GB"/>
              </w:rPr>
            </w:pPr>
          </w:p>
        </w:tc>
        <w:tc>
          <w:tcPr>
            <w:tcW w:w="2015" w:type="dxa"/>
            <w:vAlign w:val="center"/>
          </w:tcPr>
          <w:p>
            <w:pPr>
              <w:tabs>
                <w:tab w:val="left" w:pos="1260"/>
              </w:tabs>
              <w:jc w:val="center"/>
              <w:rPr>
                <w:rFonts w:ascii="宋体" w:hAnsi="宋体"/>
                <w:szCs w:val="21"/>
                <w:lang w:val="en-GB"/>
              </w:rPr>
            </w:pPr>
          </w:p>
        </w:tc>
        <w:tc>
          <w:tcPr>
            <w:tcW w:w="1343" w:type="dxa"/>
            <w:vAlign w:val="center"/>
          </w:tcPr>
          <w:p>
            <w:pPr>
              <w:tabs>
                <w:tab w:val="left" w:pos="1260"/>
              </w:tabs>
              <w:jc w:val="center"/>
              <w:rPr>
                <w:rFonts w:ascii="宋体" w:hAnsi="宋体"/>
                <w:szCs w:val="21"/>
                <w:lang w:val="en-GB"/>
              </w:rPr>
            </w:pPr>
          </w:p>
        </w:tc>
        <w:tc>
          <w:tcPr>
            <w:tcW w:w="2552"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07" w:type="dxa"/>
            <w:vMerge w:val="continue"/>
            <w:vAlign w:val="center"/>
          </w:tcPr>
          <w:p>
            <w:pPr>
              <w:tabs>
                <w:tab w:val="left" w:pos="1260"/>
              </w:tabs>
              <w:ind w:left="-86" w:leftChars="-41" w:right="-71" w:rightChars="-34"/>
              <w:jc w:val="center"/>
              <w:rPr>
                <w:rFonts w:ascii="宋体" w:hAnsi="宋体"/>
                <w:b/>
                <w:szCs w:val="21"/>
                <w:lang w:val="en-GB"/>
              </w:rPr>
            </w:pPr>
          </w:p>
        </w:tc>
        <w:tc>
          <w:tcPr>
            <w:tcW w:w="5910" w:type="dxa"/>
            <w:gridSpan w:val="3"/>
            <w:vAlign w:val="center"/>
          </w:tcPr>
          <w:p>
            <w:pPr>
              <w:tabs>
                <w:tab w:val="left" w:pos="1260"/>
              </w:tabs>
              <w:jc w:val="center"/>
              <w:rPr>
                <w:rFonts w:ascii="宋体" w:hAnsi="宋体"/>
                <w:szCs w:val="21"/>
                <w:lang w:val="en-GB"/>
              </w:rPr>
            </w:pPr>
            <w:r>
              <w:rPr>
                <w:rFonts w:hint="eastAsia" w:ascii="宋体" w:hAnsi="宋体"/>
                <w:b/>
                <w:szCs w:val="21"/>
                <w:lang w:val="en-GB"/>
              </w:rPr>
              <w:t>合计</w:t>
            </w: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07" w:type="dxa"/>
            <w:vAlign w:val="center"/>
          </w:tcPr>
          <w:p>
            <w:pPr>
              <w:tabs>
                <w:tab w:val="left" w:pos="1260"/>
              </w:tabs>
              <w:ind w:left="-86" w:leftChars="-41" w:right="-71" w:rightChars="-34"/>
              <w:jc w:val="center"/>
              <w:rPr>
                <w:rFonts w:ascii="宋体" w:hAnsi="宋体"/>
                <w:szCs w:val="21"/>
                <w:lang w:val="en-GB"/>
              </w:rPr>
            </w:pPr>
            <w:r>
              <w:rPr>
                <w:rFonts w:hint="eastAsia" w:ascii="宋体" w:hAnsi="宋体"/>
                <w:b/>
                <w:szCs w:val="21"/>
                <w:lang w:val="en-GB"/>
              </w:rPr>
              <w:t>说明</w:t>
            </w:r>
          </w:p>
        </w:tc>
        <w:tc>
          <w:tcPr>
            <w:tcW w:w="8532" w:type="dxa"/>
            <w:gridSpan w:val="5"/>
            <w:vAlign w:val="center"/>
          </w:tcPr>
          <w:p>
            <w:pPr>
              <w:tabs>
                <w:tab w:val="left" w:pos="1260"/>
              </w:tabs>
              <w:rPr>
                <w:rFonts w:ascii="宋体" w:hAnsi="宋体"/>
                <w:szCs w:val="21"/>
                <w:lang w:val="en-GB"/>
              </w:rPr>
            </w:pPr>
          </w:p>
        </w:tc>
      </w:tr>
    </w:tbl>
    <w:p>
      <w:pPr>
        <w:autoSpaceDE w:val="0"/>
        <w:autoSpaceDN w:val="0"/>
        <w:adjustRightInd w:val="0"/>
        <w:jc w:val="left"/>
        <w:rPr>
          <w:rFonts w:ascii="宋体" w:hAnsi="宋体"/>
          <w:szCs w:val="21"/>
          <w:lang w:val="en-GB"/>
        </w:rPr>
      </w:pPr>
    </w:p>
    <w:p>
      <w:pPr>
        <w:tabs>
          <w:tab w:val="left" w:pos="360"/>
          <w:tab w:val="left" w:pos="993"/>
        </w:tabs>
        <w:snapToGrid w:val="0"/>
        <w:spacing w:line="360" w:lineRule="auto"/>
        <w:ind w:left="424" w:leftChars="202"/>
        <w:rPr>
          <w:rFonts w:ascii="宋体" w:hAnsi="宋体"/>
          <w:szCs w:val="21"/>
          <w:lang w:val="en-GB"/>
        </w:rPr>
      </w:pPr>
      <w:r>
        <w:rPr>
          <w:rFonts w:hint="eastAsia" w:ascii="宋体" w:hAnsi="宋体"/>
          <w:szCs w:val="21"/>
          <w:lang w:val="en-GB"/>
        </w:rPr>
        <w:t>注：</w:t>
      </w:r>
    </w:p>
    <w:p>
      <w:pPr>
        <w:tabs>
          <w:tab w:val="left" w:pos="360"/>
          <w:tab w:val="left" w:pos="993"/>
        </w:tabs>
        <w:snapToGrid w:val="0"/>
        <w:spacing w:line="360" w:lineRule="auto"/>
        <w:ind w:left="424" w:leftChars="202"/>
        <w:rPr>
          <w:rFonts w:ascii="宋体" w:hAnsi="宋体"/>
          <w:lang w:val="en-GB"/>
        </w:rPr>
      </w:pPr>
      <w:r>
        <w:rPr>
          <w:rFonts w:hint="eastAsia" w:ascii="宋体" w:hAnsi="宋体"/>
          <w:lang w:val="en-GB"/>
        </w:rPr>
        <w:t>1.节能产品须填写认证证书编号，并提供投标产品的节能产品认证证书复印件加盖响应供应商公章。</w:t>
      </w:r>
    </w:p>
    <w:p>
      <w:pPr>
        <w:tabs>
          <w:tab w:val="left" w:pos="709"/>
          <w:tab w:val="left" w:pos="993"/>
        </w:tabs>
        <w:adjustRightInd w:val="0"/>
        <w:snapToGrid w:val="0"/>
        <w:spacing w:line="360" w:lineRule="auto"/>
        <w:ind w:left="566" w:leftChars="202" w:hanging="142" w:hangingChars="68"/>
        <w:jc w:val="left"/>
        <w:rPr>
          <w:rFonts w:ascii="宋体" w:hAnsi="宋体"/>
          <w:szCs w:val="21"/>
          <w:lang w:val="en-GB"/>
        </w:rPr>
      </w:pPr>
      <w:r>
        <w:rPr>
          <w:rFonts w:hint="eastAsia" w:ascii="宋体" w:hAnsi="宋体"/>
          <w:bCs/>
          <w:szCs w:val="21"/>
          <w:lang w:val="en-GB"/>
        </w:rPr>
        <w:t>2.环保标志产品须填写认证证书编号，并提供投标产品的环保标志产品认证证书复印件加盖响应供应商公章</w:t>
      </w:r>
      <w:r>
        <w:rPr>
          <w:rFonts w:hint="eastAsia" w:ascii="宋体" w:hAnsi="宋体"/>
          <w:szCs w:val="21"/>
          <w:lang w:val="en-GB"/>
        </w:rPr>
        <w:t>。</w:t>
      </w:r>
    </w:p>
    <w:p>
      <w:pPr>
        <w:spacing w:line="500" w:lineRule="exact"/>
        <w:ind w:firstLine="109" w:firstLineChars="50"/>
        <w:rPr>
          <w:rFonts w:ascii="宋体" w:hAnsi="宋体"/>
          <w:u w:val="single"/>
        </w:rPr>
      </w:pPr>
      <w:r>
        <w:rPr>
          <w:rFonts w:hint="eastAsia"/>
          <w:spacing w:val="4"/>
        </w:rPr>
        <w:t>响应供应商名称（</w:t>
      </w:r>
      <w:r>
        <w:rPr>
          <w:rFonts w:hint="eastAsia" w:ascii="宋体" w:hAnsi="宋体"/>
        </w:rPr>
        <w:t>单位盖</w:t>
      </w:r>
      <w:r>
        <w:rPr>
          <w:rFonts w:hint="eastAsia"/>
          <w:spacing w:val="4"/>
        </w:rPr>
        <w:t>公章）：</w:t>
      </w:r>
    </w:p>
    <w:p>
      <w:pPr>
        <w:spacing w:line="400" w:lineRule="exact"/>
        <w:sectPr>
          <w:pgSz w:w="11906" w:h="16838"/>
          <w:pgMar w:top="1134" w:right="1134" w:bottom="1134" w:left="1134" w:header="671" w:footer="579" w:gutter="0"/>
          <w:cols w:space="425" w:num="1"/>
          <w:docGrid w:type="lines" w:linePitch="312" w:charSpace="0"/>
        </w:sectPr>
      </w:pPr>
      <w:r>
        <w:rPr>
          <w:rFonts w:hint="eastAsia"/>
          <w:spacing w:val="4"/>
        </w:rPr>
        <w:t>日期</w:t>
      </w:r>
    </w:p>
    <w:bookmarkEnd w:id="36"/>
    <w:p>
      <w:pPr>
        <w:pStyle w:val="3"/>
        <w:adjustRightInd w:val="0"/>
        <w:snapToGrid w:val="0"/>
        <w:spacing w:beforeLines="50" w:afterLines="50" w:line="360" w:lineRule="auto"/>
        <w:jc w:val="center"/>
        <w:rPr>
          <w:b w:val="0"/>
        </w:rPr>
      </w:pPr>
      <w:r>
        <w:rPr>
          <w:rFonts w:hint="eastAsia"/>
          <w:b w:val="0"/>
        </w:rPr>
        <w:t>招标代理服务费承诺书</w:t>
      </w:r>
    </w:p>
    <w:p>
      <w:pPr>
        <w:spacing w:line="360" w:lineRule="auto"/>
        <w:rPr>
          <w:rFonts w:ascii="宋体" w:hAnsi="宋体"/>
          <w:b/>
        </w:rPr>
      </w:pPr>
      <w:r>
        <w:rPr>
          <w:rFonts w:hint="eastAsia" w:ascii="宋体" w:hAnsi="宋体"/>
          <w:b/>
        </w:rPr>
        <w:t>广东采联采购科技有限公司:</w:t>
      </w:r>
    </w:p>
    <w:p>
      <w:pPr>
        <w:spacing w:line="360" w:lineRule="auto"/>
        <w:ind w:firstLine="420" w:firstLineChars="200"/>
        <w:rPr>
          <w:rFonts w:ascii="宋体" w:cs="宋体"/>
          <w:szCs w:val="21"/>
        </w:rPr>
      </w:pPr>
      <w:r>
        <w:rPr>
          <w:rFonts w:hint="eastAsia" w:ascii="宋体" w:hAnsi="宋体"/>
        </w:rPr>
        <w:t>本公司</w:t>
      </w:r>
      <w:r>
        <w:rPr>
          <w:rFonts w:hint="eastAsia" w:ascii="宋体" w:hAnsi="宋体"/>
          <w:u w:val="single"/>
        </w:rPr>
        <w:t xml:space="preserve">       (响应供应商名称)      </w:t>
      </w:r>
      <w:r>
        <w:rPr>
          <w:rFonts w:hint="eastAsia" w:ascii="宋体" w:hAnsi="宋体"/>
        </w:rPr>
        <w:t>在参加</w:t>
      </w:r>
      <w:r>
        <w:rPr>
          <w:rFonts w:hint="eastAsia" w:ascii="宋体" w:hAnsi="宋体"/>
          <w:u w:val="single"/>
        </w:rPr>
        <w:t xml:space="preserve">       (项目名称)      </w:t>
      </w:r>
      <w:r>
        <w:rPr>
          <w:rFonts w:hint="eastAsia" w:ascii="宋体" w:hAnsi="宋体"/>
        </w:rPr>
        <w:t>(</w:t>
      </w:r>
      <w:r>
        <w:rPr>
          <w:rFonts w:hint="eastAsia"/>
        </w:rPr>
        <w:t>项目编号：</w:t>
      </w:r>
      <w:r>
        <w:rPr>
          <w:rFonts w:hint="eastAsia" w:ascii="宋体" w:hAnsi="宋体"/>
        </w:rPr>
        <w:t>PSGZ10805013A04B22)的招标中如获中标</w:t>
      </w:r>
      <w:r>
        <w:rPr>
          <w:rFonts w:hint="eastAsia" w:ascii="宋体" w:cs="宋体"/>
          <w:szCs w:val="21"/>
        </w:rPr>
        <w:t>，我公司保证按照谈判文件</w:t>
      </w:r>
      <w:r>
        <w:rPr>
          <w:rFonts w:hint="eastAsia" w:ascii="宋体" w:hAnsi="宋体"/>
        </w:rPr>
        <w:t>的</w:t>
      </w:r>
      <w:r>
        <w:rPr>
          <w:rFonts w:hint="eastAsia" w:asci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cs="宋体"/>
          <w:szCs w:val="21"/>
        </w:rPr>
        <w:t>司将同时递交招标代理服务费缴费凭证复印件并加盖公章。</w:t>
      </w:r>
    </w:p>
    <w:p>
      <w:pPr>
        <w:spacing w:line="360" w:lineRule="auto"/>
        <w:ind w:firstLine="420" w:firstLineChars="200"/>
        <w:rPr>
          <w:rFonts w:ascii="宋体" w:hAnsi="宋体"/>
        </w:rPr>
      </w:pPr>
      <w:r>
        <w:rPr>
          <w:rFonts w:hint="eastAsia" w:ascii="宋体" w:hAnsi="宋体"/>
        </w:rPr>
        <w:t>如我公司违反上款承诺，愿承担由此引起的一切法律责任。</w:t>
      </w:r>
    </w:p>
    <w:p>
      <w:pPr>
        <w:tabs>
          <w:tab w:val="center" w:pos="5010"/>
        </w:tabs>
        <w:spacing w:line="360" w:lineRule="auto"/>
        <w:ind w:firstLine="840" w:firstLineChars="400"/>
        <w:rPr>
          <w:rFonts w:ascii="宋体" w:hAnsi="宋体"/>
        </w:rPr>
      </w:pPr>
      <w:r>
        <w:rPr>
          <w:rFonts w:hint="eastAsia" w:ascii="宋体" w:hAnsi="宋体"/>
        </w:rPr>
        <w:t>特此承诺!</w:t>
      </w:r>
      <w:r>
        <w:rPr>
          <w:rFonts w:ascii="宋体" w:hAnsi="宋体"/>
        </w:rPr>
        <w:tab/>
      </w:r>
    </w:p>
    <w:p>
      <w:pPr>
        <w:spacing w:line="360" w:lineRule="auto"/>
        <w:ind w:firstLine="840" w:firstLineChars="400"/>
        <w:rPr>
          <w:rFonts w:ascii="宋体" w:hAnsi="宋体"/>
        </w:rPr>
      </w:pPr>
    </w:p>
    <w:p>
      <w:pPr>
        <w:spacing w:line="360" w:lineRule="auto"/>
        <w:ind w:left="315"/>
        <w:jc w:val="left"/>
        <w:rPr>
          <w:rFonts w:ascii="宋体" w:hAnsi="宋体"/>
        </w:rPr>
      </w:pPr>
      <w:r>
        <w:rPr>
          <w:rFonts w:hint="eastAsia" w:ascii="宋体" w:hAnsi="宋体"/>
        </w:rPr>
        <w:t>响应供应商名称(盖公章):</w:t>
      </w:r>
    </w:p>
    <w:p>
      <w:pPr>
        <w:spacing w:line="360" w:lineRule="auto"/>
        <w:ind w:left="315"/>
        <w:jc w:val="left"/>
        <w:rPr>
          <w:rFonts w:ascii="宋体" w:hAnsi="宋体"/>
        </w:rPr>
      </w:pPr>
      <w:r>
        <w:rPr>
          <w:rFonts w:hint="eastAsia" w:ascii="宋体" w:hAnsi="宋体"/>
        </w:rPr>
        <w:t>响应供应商地址:</w:t>
      </w:r>
    </w:p>
    <w:p>
      <w:pPr>
        <w:spacing w:line="360" w:lineRule="auto"/>
        <w:ind w:left="315"/>
        <w:jc w:val="left"/>
        <w:rPr>
          <w:rFonts w:ascii="宋体" w:hAnsi="宋体"/>
        </w:rPr>
      </w:pPr>
      <w:r>
        <w:rPr>
          <w:rFonts w:hint="eastAsia" w:ascii="宋体" w:hAnsi="宋体"/>
        </w:rPr>
        <w:t>电话:</w:t>
      </w:r>
    </w:p>
    <w:p>
      <w:pPr>
        <w:spacing w:line="360" w:lineRule="auto"/>
        <w:ind w:left="315"/>
        <w:jc w:val="left"/>
        <w:rPr>
          <w:rFonts w:ascii="宋体" w:hAnsi="宋体"/>
        </w:rPr>
      </w:pPr>
      <w:r>
        <w:rPr>
          <w:rFonts w:hint="eastAsia" w:ascii="宋体" w:hAnsi="宋体"/>
        </w:rPr>
        <w:t>传真:</w:t>
      </w:r>
    </w:p>
    <w:p>
      <w:pPr>
        <w:spacing w:line="360" w:lineRule="auto"/>
        <w:ind w:left="315"/>
        <w:jc w:val="left"/>
        <w:rPr>
          <w:rFonts w:ascii="宋体" w:hAnsi="宋体"/>
        </w:rPr>
      </w:pPr>
      <w:r>
        <w:rPr>
          <w:rFonts w:hint="eastAsia" w:ascii="宋体"/>
        </w:rPr>
        <w:t>法定代表人或</w:t>
      </w:r>
      <w:r>
        <w:rPr>
          <w:rFonts w:hint="eastAsia" w:ascii="宋体" w:hAnsi="宋体"/>
        </w:rPr>
        <w:t>响应供应商授权代表（签名或盖章）：</w:t>
      </w:r>
    </w:p>
    <w:p>
      <w:pPr>
        <w:spacing w:line="360" w:lineRule="auto"/>
        <w:ind w:left="315"/>
        <w:jc w:val="left"/>
        <w:rPr>
          <w:rFonts w:ascii="宋体" w:hAnsi="宋体"/>
        </w:rPr>
      </w:pPr>
      <w:r>
        <w:rPr>
          <w:rFonts w:hint="eastAsia" w:ascii="宋体" w:hAnsi="宋体"/>
        </w:rPr>
        <w:t>签署日期:</w:t>
      </w:r>
    </w:p>
    <w:p>
      <w:pPr>
        <w:jc w:val="center"/>
        <w:rPr>
          <w:rFonts w:ascii="宋体" w:hAnsi="宋体"/>
          <w:b/>
        </w:rPr>
      </w:pPr>
      <w:r>
        <w:rPr>
          <w:rFonts w:hint="eastAsia" w:ascii="宋体" w:hAnsi="宋体"/>
          <w:b/>
        </w:rPr>
        <w:t>招标代理服务费发票开具须知</w:t>
      </w:r>
    </w:p>
    <w:tbl>
      <w:tblPr>
        <w:tblStyle w:val="30"/>
        <w:tblW w:w="928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09"/>
        <w:gridCol w:w="2088"/>
        <w:gridCol w:w="2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trPr>
        <w:tc>
          <w:tcPr>
            <w:tcW w:w="5009" w:type="dxa"/>
            <w:tcBorders>
              <w:top w:val="single" w:color="auto" w:sz="12" w:space="0"/>
              <w:left w:val="single" w:color="auto" w:sz="12" w:space="0"/>
              <w:bottom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发票类型</w:t>
            </w:r>
          </w:p>
          <w:p>
            <w:pPr>
              <w:adjustRightInd w:val="0"/>
              <w:snapToGrid w:val="0"/>
              <w:jc w:val="center"/>
              <w:rPr>
                <w:rFonts w:ascii="宋体" w:hAnsi="宋体"/>
                <w:b/>
                <w:szCs w:val="21"/>
              </w:rPr>
            </w:pPr>
            <w:r>
              <w:rPr>
                <w:rFonts w:hint="eastAsia" w:ascii="宋体" w:hAnsi="宋体"/>
                <w:b/>
                <w:szCs w:val="21"/>
              </w:rPr>
              <w:t>（请在对应的“□”打“√”，且只能选择其中一项）</w:t>
            </w:r>
          </w:p>
        </w:tc>
        <w:tc>
          <w:tcPr>
            <w:tcW w:w="2088" w:type="dxa"/>
            <w:tcBorders>
              <w:top w:val="single" w:color="auto" w:sz="12" w:space="0"/>
              <w:bottom w:val="single" w:color="auto" w:sz="12" w:space="0"/>
            </w:tcBorders>
            <w:vAlign w:val="center"/>
          </w:tcPr>
          <w:p>
            <w:pPr>
              <w:adjustRightInd w:val="0"/>
              <w:snapToGrid w:val="0"/>
              <w:jc w:val="center"/>
              <w:rPr>
                <w:rFonts w:ascii="宋体" w:hAnsi="宋体"/>
                <w:b/>
                <w:i/>
                <w:szCs w:val="21"/>
              </w:rPr>
            </w:pPr>
            <w:r>
              <w:rPr>
                <w:rFonts w:hint="eastAsia" w:ascii="宋体" w:hAnsi="宋体"/>
                <w:b/>
                <w:szCs w:val="21"/>
              </w:rPr>
              <w:t>□增值税普通发票</w:t>
            </w:r>
          </w:p>
        </w:tc>
        <w:tc>
          <w:tcPr>
            <w:tcW w:w="2191" w:type="dxa"/>
            <w:tcBorders>
              <w:top w:val="single" w:color="auto" w:sz="12" w:space="0"/>
              <w:bottom w:val="single" w:color="auto" w:sz="12"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trPr>
        <w:tc>
          <w:tcPr>
            <w:tcW w:w="9288" w:type="dxa"/>
            <w:gridSpan w:val="3"/>
            <w:tcBorders>
              <w:top w:val="single" w:color="auto" w:sz="12" w:space="0"/>
              <w:left w:val="single" w:color="auto" w:sz="12" w:space="0"/>
              <w:bottom w:val="single" w:color="auto" w:sz="12" w:space="0"/>
              <w:right w:val="single" w:color="auto" w:sz="12" w:space="0"/>
            </w:tcBorders>
          </w:tcPr>
          <w:p>
            <w:pPr>
              <w:adjustRightInd w:val="0"/>
              <w:snapToGrid w:val="0"/>
              <w:rPr>
                <w:rFonts w:ascii="宋体" w:hAnsi="宋体"/>
                <w:b/>
                <w:szCs w:val="21"/>
              </w:rPr>
            </w:pPr>
            <w:r>
              <w:rPr>
                <w:rFonts w:hint="eastAsia" w:ascii="宋体" w:hAnsi="宋体"/>
                <w:b/>
                <w:szCs w:val="21"/>
              </w:rPr>
              <w:t>如选择“增值税专用发票”，则投标时必须提供以下资料信息，且密封于“开标信封”内：</w:t>
            </w:r>
          </w:p>
          <w:p>
            <w:pPr>
              <w:adjustRightInd w:val="0"/>
              <w:snapToGrid w:val="0"/>
              <w:rPr>
                <w:rFonts w:ascii="宋体" w:hAnsi="宋体"/>
                <w:szCs w:val="21"/>
              </w:rPr>
            </w:pPr>
            <w:r>
              <w:rPr>
                <w:rFonts w:hint="eastAsia" w:ascii="宋体" w:hAnsi="宋体"/>
                <w:szCs w:val="21"/>
              </w:rPr>
              <w:t xml:space="preserve">1、一般纳税人资格认定税务通知书或其他可证明具有该项资格证明文件的复印件，加盖单位公章； </w:t>
            </w:r>
          </w:p>
          <w:p>
            <w:pPr>
              <w:adjustRightInd w:val="0"/>
              <w:snapToGrid w:val="0"/>
              <w:rPr>
                <w:rFonts w:ascii="宋体" w:hAnsi="宋体"/>
                <w:szCs w:val="21"/>
              </w:rPr>
            </w:pPr>
            <w:r>
              <w:rPr>
                <w:rFonts w:hint="eastAsia" w:ascii="宋体" w:hAnsi="宋体"/>
                <w:szCs w:val="21"/>
              </w:rPr>
              <w:t>2、客户的开票资料（单位名称、纳税人识别号、地址、电话、开户行全称及账号</w:t>
            </w:r>
            <w:r>
              <w:rPr>
                <w:rFonts w:ascii="宋体" w:hAnsi="宋体"/>
                <w:szCs w:val="21"/>
              </w:rPr>
              <w:t>）</w:t>
            </w:r>
            <w:r>
              <w:rPr>
                <w:rFonts w:hint="eastAsia" w:ascii="宋体" w:hAnsi="宋体"/>
                <w:szCs w:val="21"/>
              </w:rPr>
              <w:t>，加盖单位公章。</w:t>
            </w:r>
          </w:p>
        </w:tc>
      </w:tr>
    </w:tbl>
    <w:p>
      <w:pPr>
        <w:pStyle w:val="27"/>
        <w:shd w:val="clear" w:color="auto" w:fill="FFFFFF"/>
        <w:adjustRightInd w:val="0"/>
        <w:snapToGrid w:val="0"/>
        <w:spacing w:before="0" w:beforeAutospacing="0" w:after="0" w:afterAutospacing="0"/>
        <w:ind w:left="150" w:right="150"/>
        <w:jc w:val="center"/>
        <w:rPr>
          <w:rFonts w:ascii="黑体" w:eastAsia="黑体"/>
          <w:sz w:val="32"/>
          <w:szCs w:val="32"/>
        </w:rPr>
      </w:pPr>
      <w:r>
        <w:rPr>
          <w:rFonts w:hint="eastAsia" w:ascii="黑体" w:eastAsia="黑体"/>
          <w:sz w:val="32"/>
          <w:szCs w:val="32"/>
        </w:rPr>
        <w:t>温馨提示</w:t>
      </w:r>
    </w:p>
    <w:p>
      <w:pPr>
        <w:numPr>
          <w:ilvl w:val="0"/>
          <w:numId w:val="40"/>
        </w:numPr>
        <w:adjustRightInd w:val="0"/>
        <w:snapToGrid w:val="0"/>
        <w:rPr>
          <w:rFonts w:ascii="宋体" w:hAnsi="宋体"/>
          <w:bCs/>
          <w:szCs w:val="21"/>
        </w:rPr>
      </w:pPr>
      <w:r>
        <w:rPr>
          <w:rFonts w:hint="eastAsia" w:ascii="宋体" w:hAnsi="宋体"/>
          <w:bCs/>
          <w:szCs w:val="21"/>
        </w:rPr>
        <w:t>投标时，响应供应商必须确认“缴纳招标代理服务费”开具的发票类型。</w:t>
      </w:r>
    </w:p>
    <w:p>
      <w:pPr>
        <w:numPr>
          <w:ilvl w:val="0"/>
          <w:numId w:val="40"/>
        </w:numPr>
        <w:adjustRightInd w:val="0"/>
        <w:snapToGrid w:val="0"/>
        <w:rPr>
          <w:rFonts w:ascii="宋体" w:hAnsi="宋体"/>
          <w:bCs/>
          <w:szCs w:val="21"/>
        </w:rPr>
      </w:pPr>
      <w:r>
        <w:rPr>
          <w:rFonts w:hint="eastAsia" w:ascii="宋体" w:hAnsi="宋体"/>
          <w:bCs/>
          <w:szCs w:val="21"/>
        </w:rPr>
        <w:t>响应供应商中标后，我司将按该响应供应商所递交的响应文件中《招标代理服务费承诺书》确认的发票类型作为开具发票类型的依据；若响应供应商投标时未确认，则视为开具增值税普通发票。</w:t>
      </w:r>
    </w:p>
    <w:p>
      <w:pPr>
        <w:numPr>
          <w:ilvl w:val="0"/>
          <w:numId w:val="40"/>
        </w:numPr>
        <w:adjustRightInd w:val="0"/>
        <w:snapToGrid w:val="0"/>
      </w:pPr>
      <w:r>
        <w:rPr>
          <w:rFonts w:hint="eastAsia" w:ascii="宋体" w:hAnsi="宋体"/>
          <w:bCs/>
          <w:szCs w:val="21"/>
        </w:rPr>
        <w:t>因响应供应商投标时确认的</w:t>
      </w:r>
      <w:r>
        <w:rPr>
          <w:rFonts w:hint="eastAsia" w:ascii="宋体" w:hAnsi="宋体"/>
          <w:szCs w:val="21"/>
        </w:rPr>
        <w:t>发票类型有误或未确认，我司将不予更换发票类型</w:t>
      </w:r>
      <w:r>
        <w:rPr>
          <w:rFonts w:hint="eastAsia" w:ascii="宋体" w:hAnsi="宋体"/>
          <w:bCs/>
          <w:szCs w:val="21"/>
        </w:rPr>
        <w:t>。</w:t>
      </w:r>
    </w:p>
    <w:p>
      <w:pPr>
        <w:pStyle w:val="3"/>
        <w:adjustRightInd w:val="0"/>
        <w:snapToGrid w:val="0"/>
        <w:spacing w:beforeLines="50" w:afterLines="50" w:line="360" w:lineRule="auto"/>
        <w:rPr>
          <w:rFonts w:ascii="宋体" w:hAnsi="宋体"/>
          <w:b w:val="0"/>
          <w:bCs w:val="0"/>
          <w:sz w:val="44"/>
        </w:rPr>
      </w:pPr>
    </w:p>
    <w:p>
      <w:pPr>
        <w:spacing w:line="440" w:lineRule="exact"/>
      </w:pPr>
    </w:p>
    <w:p>
      <w:pPr>
        <w:rPr>
          <w:rFonts w:ascii="宋体" w:hAnsi="宋体"/>
          <w:b/>
          <w:bCs/>
          <w:sz w:val="44"/>
        </w:rPr>
      </w:pPr>
    </w:p>
    <w:p>
      <w:pPr>
        <w:snapToGrid w:val="0"/>
        <w:spacing w:line="360" w:lineRule="auto"/>
        <w:jc w:val="center"/>
        <w:outlineLvl w:val="0"/>
        <w:rPr>
          <w:b/>
          <w:bCs/>
          <w:sz w:val="28"/>
          <w:szCs w:val="28"/>
        </w:rPr>
      </w:pPr>
      <w:r>
        <w:rPr>
          <w:rFonts w:ascii="宋体" w:hAnsi="宋体"/>
          <w:b/>
          <w:bCs/>
          <w:sz w:val="44"/>
        </w:rPr>
        <w:br w:type="page"/>
      </w:r>
      <w:bookmarkStart w:id="46" w:name="_Toc438226475"/>
      <w:bookmarkStart w:id="47" w:name="_Toc27128622"/>
      <w:r>
        <w:rPr>
          <w:rFonts w:hint="eastAsia"/>
          <w:b/>
          <w:bCs/>
          <w:sz w:val="28"/>
          <w:szCs w:val="28"/>
        </w:rPr>
        <w:t>第七章谈判须知</w:t>
      </w:r>
      <w:bookmarkEnd w:id="46"/>
      <w:bookmarkEnd w:id="47"/>
    </w:p>
    <w:p>
      <w:pPr>
        <w:snapToGrid w:val="0"/>
        <w:spacing w:line="360" w:lineRule="auto"/>
        <w:jc w:val="center"/>
        <w:rPr>
          <w:rFonts w:ascii="楷体_GB2312" w:hAnsi="宋体" w:eastAsia="楷体_GB2312" w:cs="楷体_GB2312"/>
          <w:sz w:val="28"/>
          <w:szCs w:val="28"/>
        </w:rPr>
      </w:pPr>
      <w:bookmarkStart w:id="48" w:name="_Toc438226476"/>
      <w:r>
        <w:rPr>
          <w:rFonts w:hint="eastAsia" w:ascii="宋体" w:hAnsi="宋体"/>
          <w:b/>
          <w:sz w:val="28"/>
          <w:szCs w:val="28"/>
          <w:lang w:eastAsia="zh-TW"/>
        </w:rPr>
        <w:t>一、说 明</w:t>
      </w:r>
      <w:bookmarkEnd w:id="48"/>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适用范围</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本谈判文件适用于本谈判邀请中所述项目的政府采购。</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bookmarkStart w:id="49" w:name="_Toc410738934"/>
      <w:bookmarkStart w:id="50" w:name="_Toc410736134"/>
      <w:bookmarkStart w:id="51" w:name="_Toc416770213"/>
      <w:bookmarkStart w:id="52" w:name="_Toc416771323"/>
      <w:r>
        <w:rPr>
          <w:rFonts w:hint="eastAsia" w:ascii="宋体" w:hAnsi="宋体"/>
          <w:b/>
        </w:rPr>
        <w:t>政府采购监督管理部门</w:t>
      </w:r>
      <w:r>
        <w:rPr>
          <w:rFonts w:hint="eastAsia" w:ascii="宋体" w:hAnsi="宋体"/>
          <w:b/>
          <w:bCs/>
        </w:rPr>
        <w:t>及</w:t>
      </w:r>
      <w:bookmarkEnd w:id="49"/>
      <w:bookmarkEnd w:id="50"/>
      <w:bookmarkEnd w:id="51"/>
      <w:bookmarkEnd w:id="52"/>
      <w:r>
        <w:rPr>
          <w:rFonts w:hint="eastAsia" w:ascii="宋体" w:hAnsi="宋体"/>
          <w:b/>
          <w:bCs/>
        </w:rPr>
        <w:t>采购人、采购代理机构</w:t>
      </w:r>
    </w:p>
    <w:p>
      <w:pPr>
        <w:numPr>
          <w:ilvl w:val="1"/>
          <w:numId w:val="41"/>
        </w:numPr>
        <w:autoSpaceDE w:val="0"/>
        <w:autoSpaceDN w:val="0"/>
        <w:adjustRightInd w:val="0"/>
        <w:snapToGrid w:val="0"/>
        <w:spacing w:line="360" w:lineRule="auto"/>
        <w:jc w:val="left"/>
        <w:rPr>
          <w:rFonts w:ascii="宋体" w:hAnsi="宋体"/>
          <w:b/>
          <w:bCs/>
          <w:szCs w:val="21"/>
        </w:rPr>
      </w:pPr>
      <w:r>
        <w:rPr>
          <w:rFonts w:hint="eastAsia" w:ascii="宋体" w:hAnsi="宋体"/>
          <w:szCs w:val="21"/>
        </w:rPr>
        <w:t>政府采购监督管理部门指</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numPr>
          <w:ilvl w:val="1"/>
          <w:numId w:val="41"/>
        </w:numPr>
        <w:autoSpaceDE w:val="0"/>
        <w:autoSpaceDN w:val="0"/>
        <w:adjustRightInd w:val="0"/>
        <w:snapToGrid w:val="0"/>
        <w:spacing w:line="360" w:lineRule="auto"/>
        <w:jc w:val="left"/>
        <w:rPr>
          <w:rFonts w:ascii="宋体" w:hAnsi="宋体" w:cs="宋体"/>
          <w:szCs w:val="21"/>
        </w:rPr>
      </w:pPr>
      <w:r>
        <w:rPr>
          <w:rFonts w:hint="eastAsia" w:ascii="宋体" w:hAnsi="宋体"/>
          <w:szCs w:val="21"/>
        </w:rPr>
        <w:t>采购人指依法进行政府采购的</w:t>
      </w:r>
      <w:r>
        <w:rPr>
          <w:rFonts w:ascii="宋体" w:hAnsi="宋体"/>
          <w:szCs w:val="21"/>
        </w:rPr>
        <w:t>国家机关、事业单位和团体组织</w:t>
      </w:r>
      <w:r>
        <w:rPr>
          <w:rFonts w:hint="eastAsia" w:ascii="宋体" w:hAnsi="宋体"/>
          <w:szCs w:val="21"/>
        </w:rPr>
        <w:t>。</w:t>
      </w:r>
      <w:r>
        <w:rPr>
          <w:rFonts w:hint="eastAsia" w:ascii="宋体" w:hAnsi="宋体" w:cs="宋体"/>
          <w:szCs w:val="21"/>
          <w:lang w:eastAsia="zh-TW"/>
        </w:rPr>
        <w:t>本谈判文件第二章</w:t>
      </w:r>
      <w:r>
        <w:rPr>
          <w:rFonts w:hint="eastAsia" w:ascii="宋体" w:hAnsi="宋体" w:cs="黑体"/>
          <w:b/>
          <w:szCs w:val="21"/>
          <w:lang w:eastAsia="zh-TW"/>
        </w:rPr>
        <w:t>谈判资料表</w:t>
      </w:r>
      <w:r>
        <w:rPr>
          <w:rFonts w:hint="eastAsia" w:ascii="宋体" w:hAnsi="宋体" w:cs="宋体"/>
          <w:szCs w:val="21"/>
          <w:lang w:eastAsia="zh-TW"/>
        </w:rPr>
        <w:t>中所述的采购人已拥有一笔</w:t>
      </w:r>
      <w:r>
        <w:rPr>
          <w:rFonts w:hint="eastAsia" w:ascii="宋体" w:hAnsi="宋体" w:cs="宋体"/>
          <w:szCs w:val="21"/>
        </w:rPr>
        <w:t>财政性</w:t>
      </w:r>
      <w:r>
        <w:rPr>
          <w:rFonts w:hint="eastAsia" w:ascii="宋体" w:hAnsi="宋体" w:cs="宋体"/>
          <w:szCs w:val="21"/>
          <w:lang w:eastAsia="zh-TW"/>
        </w:rPr>
        <w:t>资金</w:t>
      </w:r>
      <w:r>
        <w:rPr>
          <w:rFonts w:hint="eastAsia" w:ascii="宋体" w:hAnsi="宋体" w:cs="宋体"/>
          <w:szCs w:val="21"/>
        </w:rPr>
        <w:t>或资金来源已落实</w:t>
      </w:r>
      <w:r>
        <w:rPr>
          <w:rFonts w:hint="eastAsia" w:ascii="宋体" w:hAnsi="宋体" w:cs="宋体"/>
          <w:szCs w:val="21"/>
          <w:lang w:eastAsia="zh-TW"/>
        </w:rPr>
        <w:t>。采购人计划将一部分</w:t>
      </w:r>
      <w:r>
        <w:rPr>
          <w:rFonts w:hint="eastAsia" w:ascii="宋体" w:hAnsi="宋体" w:cs="宋体"/>
          <w:szCs w:val="21"/>
        </w:rPr>
        <w:t>或全部</w:t>
      </w:r>
      <w:r>
        <w:rPr>
          <w:rFonts w:hint="eastAsia" w:ascii="宋体" w:hAnsi="宋体" w:cs="宋体"/>
          <w:szCs w:val="21"/>
          <w:lang w:eastAsia="zh-TW"/>
        </w:rPr>
        <w:t>资金用于支付本次</w:t>
      </w:r>
      <w:r>
        <w:rPr>
          <w:rFonts w:hint="eastAsia" w:ascii="宋体" w:hAnsi="宋体" w:cs="宋体"/>
          <w:szCs w:val="21"/>
        </w:rPr>
        <w:t>采购</w:t>
      </w:r>
      <w:r>
        <w:rPr>
          <w:rFonts w:hint="eastAsia" w:ascii="宋体" w:hAnsi="宋体" w:cs="宋体"/>
          <w:szCs w:val="21"/>
          <w:lang w:eastAsia="zh-TW"/>
        </w:rPr>
        <w:t>后所签订合同项下的款项</w:t>
      </w:r>
      <w:r>
        <w:rPr>
          <w:rFonts w:hint="eastAsia" w:ascii="宋体" w:hAnsi="宋体" w:cs="宋体"/>
          <w:szCs w:val="21"/>
        </w:rPr>
        <w:t>。</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cs="宋体"/>
          <w:szCs w:val="21"/>
          <w:lang w:eastAsia="zh-TW"/>
        </w:rPr>
        <w:t>采购代理机构指</w:t>
      </w:r>
      <w:r>
        <w:rPr>
          <w:rFonts w:hint="eastAsia" w:ascii="宋体" w:hAnsi="宋体"/>
          <w:szCs w:val="21"/>
        </w:rPr>
        <w:t>按照规定办理名录登记并通过审核的代理机构，</w:t>
      </w:r>
      <w:r>
        <w:rPr>
          <w:rFonts w:hint="eastAsia" w:ascii="宋体" w:hAnsi="宋体"/>
        </w:rPr>
        <w:t>本次采购的采购代理机构名称、地址、电话等联系方式详见</w:t>
      </w:r>
      <w:r>
        <w:rPr>
          <w:rFonts w:hint="eastAsia" w:ascii="宋体" w:hAnsi="宋体"/>
          <w:b/>
        </w:rPr>
        <w:t>谈判资料表</w:t>
      </w:r>
      <w:r>
        <w:rPr>
          <w:rFonts w:hint="eastAsia" w:ascii="宋体" w:hAnsi="宋体" w:cs="宋体"/>
          <w:szCs w:val="21"/>
        </w:rPr>
        <w:t>。</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合格的响应供应商</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响应供应商是响应招标并且符合谈判文件规定资格条件和参加谈判竞争的法人、其他组织或者自然人。</w:t>
      </w:r>
    </w:p>
    <w:p>
      <w:pPr>
        <w:numPr>
          <w:ilvl w:val="2"/>
          <w:numId w:val="41"/>
        </w:numPr>
        <w:autoSpaceDE w:val="0"/>
        <w:autoSpaceDN w:val="0"/>
        <w:adjustRightInd w:val="0"/>
        <w:snapToGrid w:val="0"/>
        <w:spacing w:line="360" w:lineRule="auto"/>
        <w:jc w:val="left"/>
        <w:rPr>
          <w:rFonts w:ascii="宋体" w:hAnsi="宋体" w:cs="黑体"/>
          <w:szCs w:val="21"/>
        </w:rPr>
      </w:pPr>
      <w:r>
        <w:rPr>
          <w:rFonts w:hint="eastAsia" w:ascii="宋体" w:hAnsi="宋体"/>
          <w:szCs w:val="21"/>
        </w:rPr>
        <w:t>符合</w:t>
      </w:r>
      <w:r>
        <w:rPr>
          <w:rFonts w:hint="eastAsia" w:ascii="宋体" w:hAnsi="宋体" w:cs="黑体"/>
          <w:szCs w:val="21"/>
        </w:rPr>
        <w:t>第一章谈判邀请</w:t>
      </w:r>
      <w:r>
        <w:rPr>
          <w:rFonts w:hint="eastAsia" w:ascii="宋体" w:hAnsi="宋体"/>
          <w:bCs/>
          <w:szCs w:val="21"/>
        </w:rPr>
        <w:t>“</w:t>
      </w:r>
      <w:r>
        <w:rPr>
          <w:rFonts w:hint="eastAsia" w:ascii="宋体"/>
          <w:bCs/>
          <w:szCs w:val="21"/>
        </w:rPr>
        <w:t>供应商资格</w:t>
      </w:r>
      <w:r>
        <w:rPr>
          <w:rFonts w:hint="eastAsia" w:ascii="宋体" w:hAnsi="宋体"/>
          <w:bCs/>
          <w:szCs w:val="21"/>
        </w:rPr>
        <w:t>”</w:t>
      </w:r>
      <w:r>
        <w:rPr>
          <w:rFonts w:hint="eastAsia" w:ascii="宋体" w:hAnsi="宋体"/>
          <w:szCs w:val="21"/>
        </w:rPr>
        <w:t>的特殊条款</w:t>
      </w:r>
      <w:r>
        <w:rPr>
          <w:rFonts w:hint="eastAsia" w:ascii="宋体" w:hAnsi="宋体" w:cs="黑体"/>
          <w:szCs w:val="21"/>
        </w:rPr>
        <w:t>。</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成交供应商是指经法定程序确定并授予合同的响应供应商。</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合格的货物和服务</w:t>
      </w:r>
    </w:p>
    <w:p>
      <w:pPr>
        <w:numPr>
          <w:ilvl w:val="1"/>
          <w:numId w:val="41"/>
        </w:numPr>
        <w:autoSpaceDE w:val="0"/>
        <w:autoSpaceDN w:val="0"/>
        <w:adjustRightInd w:val="0"/>
        <w:snapToGrid w:val="0"/>
        <w:spacing w:line="360" w:lineRule="auto"/>
        <w:jc w:val="left"/>
        <w:rPr>
          <w:rFonts w:ascii="宋体" w:hAnsi="宋体"/>
          <w:b/>
          <w:bCs/>
          <w:szCs w:val="21"/>
        </w:rPr>
      </w:pPr>
      <w:r>
        <w:rPr>
          <w:rFonts w:hint="eastAsia" w:ascii="宋体" w:hAnsi="宋体"/>
          <w:szCs w:val="21"/>
        </w:rPr>
        <w:t>“货物”是指响应供应商制造或组织符合谈判文件要求的货物等。投标的货物必须是合法生产、合法来源的符合国家有关标准要求的货物，并满足本谈判文件规定的规格、参数、质量、价格、有效期、售后服务等要求。</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“服务”是指响应供应商须承担的运输、安装、技术支持、培训以及谈判文件规定的其它伴随服务。</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政府采购应当采购本国产品，确需采购进口产品的（是指通过中国海关报关验放进入中国境内且产自关境外的产品）的，</w:t>
      </w:r>
      <w:bookmarkStart w:id="53" w:name="_Toc211763038"/>
      <w:r>
        <w:rPr>
          <w:rFonts w:hint="eastAsia" w:ascii="宋体" w:hAnsi="宋体"/>
          <w:szCs w:val="21"/>
        </w:rPr>
        <w:t>应当获得财政部门核准。本项目依据《政府采购进口产品管理办法</w:t>
      </w:r>
      <w:bookmarkEnd w:id="53"/>
      <w:r>
        <w:rPr>
          <w:rFonts w:hint="eastAsia" w:ascii="宋体" w:hAnsi="宋体"/>
          <w:szCs w:val="21"/>
        </w:rPr>
        <w:t>》优先采购向我国企业转让技术、与我国企业签订消化吸收再创新方案的供应商的进口产品。</w:t>
      </w:r>
    </w:p>
    <w:p>
      <w:pPr>
        <w:numPr>
          <w:ilvl w:val="1"/>
          <w:numId w:val="41"/>
        </w:numPr>
        <w:autoSpaceDE w:val="0"/>
        <w:autoSpaceDN w:val="0"/>
        <w:adjustRightInd w:val="0"/>
        <w:snapToGrid w:val="0"/>
        <w:spacing w:line="360" w:lineRule="auto"/>
        <w:jc w:val="left"/>
        <w:rPr>
          <w:rFonts w:ascii="宋体" w:hAnsi="宋体"/>
        </w:rPr>
      </w:pPr>
      <w:r>
        <w:rPr>
          <w:rFonts w:hint="eastAsia" w:ascii="宋体" w:hAnsi="宋体"/>
        </w:rPr>
        <w:t>若所投产品属于政府强制采购节能产品的，则响应供应商必须提供该产品国家强制性节能产品进行响应，并提供强制性节能产品认证证书，否则视为无效响应。</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谈判费用</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响应供应商应承担所有与准备和参加谈判有关的费用</w:t>
      </w:r>
      <w:r>
        <w:rPr>
          <w:rFonts w:hint="eastAsia" w:ascii="宋体" w:hAnsi="宋体" w:cs="宋体"/>
          <w:szCs w:val="21"/>
          <w:lang w:eastAsia="zh-TW"/>
        </w:rPr>
        <w:t>。不论谈判的结果如何</w:t>
      </w:r>
      <w:r>
        <w:rPr>
          <w:rFonts w:hint="eastAsia" w:ascii="宋体" w:hAnsi="宋体" w:cs="宋体"/>
          <w:szCs w:val="21"/>
        </w:rPr>
        <w:t>，</w:t>
      </w:r>
      <w:r>
        <w:rPr>
          <w:rFonts w:hint="eastAsia" w:ascii="宋体" w:hAnsi="宋体" w:cs="宋体"/>
          <w:szCs w:val="21"/>
          <w:lang w:eastAsia="zh-TW"/>
        </w:rPr>
        <w:t>采购人均无义务和责任承担这些费用</w:t>
      </w:r>
      <w:r>
        <w:rPr>
          <w:rFonts w:hint="eastAsia" w:ascii="宋体" w:hAnsi="宋体" w:cs="宋体"/>
          <w:szCs w:val="21"/>
        </w:rPr>
        <w:t>。</w:t>
      </w:r>
    </w:p>
    <w:p>
      <w:pPr>
        <w:numPr>
          <w:ilvl w:val="0"/>
          <w:numId w:val="41"/>
        </w:numPr>
        <w:autoSpaceDE w:val="0"/>
        <w:autoSpaceDN w:val="0"/>
        <w:adjustRightInd w:val="0"/>
        <w:snapToGrid w:val="0"/>
        <w:spacing w:line="360" w:lineRule="auto"/>
        <w:jc w:val="left"/>
        <w:rPr>
          <w:rFonts w:ascii="宋体" w:hAnsi="宋体"/>
          <w:b/>
          <w:szCs w:val="21"/>
        </w:rPr>
      </w:pPr>
      <w:r>
        <w:rPr>
          <w:rFonts w:hint="eastAsia" w:ascii="宋体" w:hAnsi="宋体"/>
          <w:b/>
          <w:szCs w:val="21"/>
        </w:rPr>
        <w:t>其他</w:t>
      </w:r>
    </w:p>
    <w:p>
      <w:pPr>
        <w:numPr>
          <w:ilvl w:val="1"/>
          <w:numId w:val="41"/>
        </w:numPr>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41"/>
        </w:numPr>
        <w:adjustRightInd w:val="0"/>
        <w:snapToGrid w:val="0"/>
        <w:spacing w:line="360" w:lineRule="auto"/>
        <w:rPr>
          <w:rFonts w:ascii="宋体" w:hAnsi="宋体" w:cs="宋体"/>
          <w:szCs w:val="21"/>
          <w:lang w:eastAsia="zh-TW"/>
        </w:rPr>
      </w:pPr>
      <w:r>
        <w:rPr>
          <w:rFonts w:hint="eastAsia" w:ascii="宋体" w:hAnsi="宋体" w:cs="宋体"/>
          <w:szCs w:val="21"/>
          <w:lang w:eastAsia="zh-TW"/>
        </w:rPr>
        <w:t>供应商（响应供应商）向我司咨询的有关项目事项，一切以法律法规的规定和本公司书面答复为准，其他一切形式均为个人意见，不代表本公司的意见。</w:t>
      </w:r>
    </w:p>
    <w:p>
      <w:pPr>
        <w:numPr>
          <w:ilvl w:val="1"/>
          <w:numId w:val="41"/>
        </w:numPr>
        <w:autoSpaceDE w:val="0"/>
        <w:autoSpaceDN w:val="0"/>
        <w:adjustRightInd w:val="0"/>
        <w:snapToGrid w:val="0"/>
        <w:spacing w:line="360" w:lineRule="auto"/>
        <w:jc w:val="left"/>
        <w:rPr>
          <w:rFonts w:ascii="宋体" w:hAnsi="宋体" w:cs="黑体"/>
          <w:b/>
          <w:bCs/>
          <w:szCs w:val="21"/>
        </w:rPr>
      </w:pPr>
      <w:r>
        <w:rPr>
          <w:rFonts w:hint="eastAsia" w:ascii="宋体" w:hAnsi="宋体" w:cs="宋体"/>
          <w:szCs w:val="21"/>
        </w:rPr>
        <w:t>成交供应商应按照谈判文件</w:t>
      </w:r>
      <w:r>
        <w:rPr>
          <w:rFonts w:hint="eastAsia" w:ascii="宋体" w:hAnsi="宋体" w:cs="宋体"/>
          <w:b/>
          <w:szCs w:val="21"/>
        </w:rPr>
        <w:t>谈判资料表</w:t>
      </w:r>
      <w:r>
        <w:rPr>
          <w:rFonts w:hint="eastAsia" w:ascii="宋体" w:hAnsi="宋体" w:cs="宋体"/>
          <w:szCs w:val="21"/>
        </w:rPr>
        <w:t>中的规定缴纳招标代理服务费。否则，不予退还其谈判保证金。</w:t>
      </w:r>
    </w:p>
    <w:p>
      <w:pPr>
        <w:numPr>
          <w:ilvl w:val="1"/>
          <w:numId w:val="41"/>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服务费按差额定率累进法计算。</w:t>
      </w:r>
    </w:p>
    <w:tbl>
      <w:tblPr>
        <w:tblStyle w:val="30"/>
        <w:tblpPr w:leftFromText="180" w:rightFromText="180" w:vertAnchor="text" w:horzAnchor="page" w:tblpX="1474" w:tblpY="60"/>
        <w:tblW w:w="907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97"/>
        <w:gridCol w:w="2590"/>
        <w:gridCol w:w="25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3897" w:type="dxa"/>
          </w:tcPr>
          <w:p>
            <w:pPr>
              <w:rPr>
                <w:rFonts w:ascii="宋体" w:hAnsi="宋体"/>
                <w:szCs w:val="21"/>
              </w:rPr>
            </w:pPr>
            <w:r>
              <w:rPr>
                <w:rFonts w:ascii="宋体" w:hAnsi="宋体" w:cs="宋体"/>
                <w:szCs w:val="21"/>
              </w:rPr>
              <w:pict>
                <v:line id="_x0000_s1032" o:spid="_x0000_s1032" o:spt="20" style="position:absolute;left:0pt;margin-left:-6.6pt;margin-top:1.4pt;height:30pt;width:192pt;z-index:251661312;mso-width-relative:page;mso-height-relative:page;" coordsize="21600,21600" o:gfxdata="UEsDBAoAAAAAAIdO4kAAAAAAAAAAAAAAAAAEAAAAZHJzL1BLAwQUAAAACACHTuJAChgE6tUAAAAI&#10;AQAADwAAAGRycy9kb3ducmV2LnhtbE2PT0/DMAzF70h8h8hIXKYtaSsNVOruAPTGhQHi6jWmrWiS&#10;rsn+wKfHnOBm+z09/161ObtRHXmOQ/AI2cqAYt8GO/gO4fWlWd6Ciom8pTF4RvjiCJv68qKi0oaT&#10;f+bjNnVKQnwsCaFPaSq1jm3PjuIqTOxF+wizoyTr3Gk700nC3ahzY9ba0eDlQ08T3/fcfm4PDiE2&#10;b7xvvhftwrwXXeB8//D0SIjXV5m5A5X4nP7M8Isv6FAL0y4cvI1qRFhmRS5WhFwaiF7cGBl2CGs5&#10;6LrS/wvUP1BLAwQUAAAACACHTuJAXgOx/M4BAABhAwAADgAAAGRycy9lMm9Eb2MueG1srVPNjtMw&#10;EL4j8Q6W7zRpdheVqOkeulouC1Ta5QGmjtNY2B7Ldpv0JXgBJG5w4sidt2F5DMZut7BwQ+Qwsufn&#10;m/m+ceaXo9FsJ31QaBs+nZScSSuwVXbT8Ld3189mnIUItgWNVjZ8LwO/XDx9Mh9cLSvsUbfSMwKx&#10;oR5cw/sYXV0UQfTSQJigk5aCHXoDka5+U7QeBkI3uqjK8nkxoG+dRyFDIO/VIcgXGb/rpIhvui7I&#10;yHTDabaYrc92nWyxmEO98eB6JY5jwD9MYUBZanqCuoIIbOvVX1BGCY8BuzgRaArsOiVk5kBspuUf&#10;bG57cDJzIXGCO8kU/h+seL1beabahlecWTC0ovsPX7+///Tj20ey918+syqJNLhQU+7SrnyiKUZ7&#10;625QvAvM4rIHu5F52Lu9I4RpqigelaRLcNRqPbzClnJgGzErNnbeJEjSgo15MfvTYuQYmSBndX42&#10;Oy9pf4JiZ7NpSefUAuqHaudDfCnRsHRouFY2CQc17G5CPKQ+pCS3xWulNfmh1pYNDX9xUV3kgoBa&#10;tSmYYsFv1kvt2Q7S88nfse+jNI9b2x6aaHtknsgeZFtju1/5FE4i0B7z4Mc3lx7K7/ec9evPWP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hgE6tUAAAAIAQAADwAAAAAAAAABACAAAAAiAAAAZHJz&#10;L2Rvd25yZXYueG1sUEsBAhQAFAAAAAgAh07iQF4DsfzOAQAAYQMAAA4AAAAAAAAAAQAgAAAAJAEA&#10;AGRycy9lMm9Eb2MueG1sUEsFBgAAAAAGAAYAWQEAAGQFAAAAAA==&#10;">
                  <v:path arrowok="t"/>
                  <v:fill focussize="0,0"/>
                  <v:stroke/>
                  <v:imagedata o:title=""/>
                  <o:lock v:ext="edit"/>
                </v:line>
              </w:pict>
            </w:r>
            <w:r>
              <w:rPr>
                <w:rFonts w:hint="eastAsia" w:ascii="宋体" w:hAnsi="宋体"/>
                <w:szCs w:val="21"/>
              </w:rPr>
              <w:t xml:space="preserve">                    费率</w:t>
            </w:r>
          </w:p>
          <w:p>
            <w:pPr>
              <w:rPr>
                <w:rFonts w:ascii="宋体" w:hAnsi="宋体"/>
                <w:szCs w:val="21"/>
              </w:rPr>
            </w:pPr>
            <w:r>
              <w:rPr>
                <w:rFonts w:hint="eastAsia" w:ascii="宋体" w:hAnsi="宋体"/>
                <w:szCs w:val="21"/>
              </w:rPr>
              <w:t>中标金额</w:t>
            </w:r>
          </w:p>
        </w:tc>
        <w:tc>
          <w:tcPr>
            <w:tcW w:w="2590" w:type="dxa"/>
            <w:vAlign w:val="center"/>
          </w:tcPr>
          <w:p>
            <w:pPr>
              <w:ind w:firstLine="105" w:firstLineChars="50"/>
              <w:jc w:val="center"/>
              <w:rPr>
                <w:rFonts w:ascii="宋体" w:hAnsi="宋体"/>
                <w:szCs w:val="21"/>
              </w:rPr>
            </w:pPr>
            <w:r>
              <w:rPr>
                <w:rFonts w:hint="eastAsia" w:ascii="宋体" w:hAnsi="宋体"/>
                <w:szCs w:val="21"/>
              </w:rPr>
              <w:t>货物招标</w:t>
            </w:r>
          </w:p>
        </w:tc>
        <w:tc>
          <w:tcPr>
            <w:tcW w:w="2590" w:type="dxa"/>
            <w:vAlign w:val="center"/>
          </w:tcPr>
          <w:p>
            <w:pPr>
              <w:snapToGrid w:val="0"/>
              <w:jc w:val="center"/>
              <w:rPr>
                <w:rFonts w:ascii="宋体" w:hAnsi="宋体" w:cs="宋体"/>
                <w:szCs w:val="21"/>
              </w:rPr>
            </w:pPr>
            <w:r>
              <w:rPr>
                <w:rFonts w:hint="eastAsia" w:ascii="宋体" w:hAnsi="宋体"/>
                <w:bCs/>
                <w:szCs w:val="21"/>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trPr>
        <w:tc>
          <w:tcPr>
            <w:tcW w:w="3897" w:type="dxa"/>
          </w:tcPr>
          <w:p>
            <w:pPr>
              <w:snapToGrid w:val="0"/>
              <w:jc w:val="center"/>
              <w:rPr>
                <w:rFonts w:ascii="宋体" w:hAnsi="宋体"/>
                <w:bCs/>
                <w:szCs w:val="21"/>
              </w:rPr>
            </w:pPr>
            <w:r>
              <w:rPr>
                <w:rFonts w:hint="eastAsia" w:ascii="宋体" w:hAnsi="宋体"/>
                <w:bCs/>
                <w:szCs w:val="21"/>
              </w:rPr>
              <w:t>100万元以下</w:t>
            </w:r>
          </w:p>
        </w:tc>
        <w:tc>
          <w:tcPr>
            <w:tcW w:w="2590" w:type="dxa"/>
            <w:vAlign w:val="center"/>
          </w:tcPr>
          <w:p>
            <w:pPr>
              <w:snapToGrid w:val="0"/>
              <w:jc w:val="center"/>
              <w:rPr>
                <w:rFonts w:ascii="宋体" w:hAnsi="宋体"/>
                <w:bCs/>
                <w:szCs w:val="21"/>
              </w:rPr>
            </w:pPr>
            <w:r>
              <w:rPr>
                <w:rFonts w:ascii="宋体" w:hAnsi="宋体"/>
                <w:bCs/>
                <w:szCs w:val="21"/>
              </w:rPr>
              <w:t>1.5%</w:t>
            </w:r>
          </w:p>
        </w:tc>
        <w:tc>
          <w:tcPr>
            <w:tcW w:w="2590" w:type="dxa"/>
            <w:vAlign w:val="center"/>
          </w:tcPr>
          <w:p>
            <w:pPr>
              <w:snapToGrid w:val="0"/>
              <w:jc w:val="center"/>
              <w:rPr>
                <w:rFonts w:ascii="宋体" w:hAnsi="宋体"/>
                <w:bCs/>
                <w:szCs w:val="21"/>
              </w:rPr>
            </w:pPr>
            <w:r>
              <w:rPr>
                <w:rFonts w:hint="eastAsia" w:ascii="宋体" w:hAnsi="宋体"/>
                <w:bCs/>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3897" w:type="dxa"/>
          </w:tcPr>
          <w:p>
            <w:pPr>
              <w:snapToGrid w:val="0"/>
              <w:jc w:val="center"/>
              <w:rPr>
                <w:rFonts w:ascii="宋体" w:hAnsi="宋体"/>
                <w:bCs/>
                <w:szCs w:val="21"/>
              </w:rPr>
            </w:pPr>
            <w:r>
              <w:rPr>
                <w:rFonts w:hint="eastAsia" w:ascii="宋体" w:hAnsi="宋体"/>
                <w:bCs/>
                <w:szCs w:val="21"/>
              </w:rPr>
              <w:t>100～500万元</w:t>
            </w:r>
          </w:p>
        </w:tc>
        <w:tc>
          <w:tcPr>
            <w:tcW w:w="2590" w:type="dxa"/>
            <w:vAlign w:val="center"/>
          </w:tcPr>
          <w:p>
            <w:pPr>
              <w:snapToGrid w:val="0"/>
              <w:jc w:val="center"/>
              <w:rPr>
                <w:rFonts w:ascii="宋体" w:hAnsi="宋体"/>
                <w:bCs/>
                <w:szCs w:val="21"/>
              </w:rPr>
            </w:pPr>
            <w:r>
              <w:rPr>
                <w:rFonts w:ascii="宋体" w:hAnsi="宋体"/>
                <w:bCs/>
                <w:szCs w:val="21"/>
              </w:rPr>
              <w:t>1.1%</w:t>
            </w:r>
          </w:p>
        </w:tc>
        <w:tc>
          <w:tcPr>
            <w:tcW w:w="2590" w:type="dxa"/>
            <w:vAlign w:val="center"/>
          </w:tcPr>
          <w:p>
            <w:pPr>
              <w:snapToGrid w:val="0"/>
              <w:jc w:val="center"/>
              <w:rPr>
                <w:rFonts w:ascii="宋体" w:hAnsi="宋体"/>
                <w:bCs/>
                <w:szCs w:val="21"/>
              </w:rPr>
            </w:pPr>
            <w:r>
              <w:rPr>
                <w:rFonts w:hint="eastAsia" w:ascii="宋体" w:hAnsi="宋体"/>
                <w:bCs/>
                <w:szCs w:val="21"/>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trPr>
        <w:tc>
          <w:tcPr>
            <w:tcW w:w="3897" w:type="dxa"/>
          </w:tcPr>
          <w:p>
            <w:pPr>
              <w:snapToGrid w:val="0"/>
              <w:jc w:val="center"/>
              <w:rPr>
                <w:rFonts w:ascii="宋体" w:hAnsi="宋体"/>
                <w:bCs/>
                <w:szCs w:val="21"/>
              </w:rPr>
            </w:pPr>
            <w:r>
              <w:rPr>
                <w:rFonts w:hint="eastAsia" w:ascii="宋体" w:hAnsi="宋体"/>
                <w:bCs/>
                <w:szCs w:val="21"/>
              </w:rPr>
              <w:t>500～1000万元</w:t>
            </w:r>
          </w:p>
        </w:tc>
        <w:tc>
          <w:tcPr>
            <w:tcW w:w="2590" w:type="dxa"/>
            <w:vAlign w:val="center"/>
          </w:tcPr>
          <w:p>
            <w:pPr>
              <w:snapToGrid w:val="0"/>
              <w:jc w:val="center"/>
              <w:rPr>
                <w:rFonts w:ascii="宋体" w:hAnsi="宋体"/>
                <w:bCs/>
                <w:szCs w:val="21"/>
              </w:rPr>
            </w:pPr>
            <w:r>
              <w:rPr>
                <w:rFonts w:ascii="宋体" w:hAnsi="宋体"/>
                <w:bCs/>
                <w:szCs w:val="21"/>
              </w:rPr>
              <w:t>0.8%</w:t>
            </w:r>
          </w:p>
        </w:tc>
        <w:tc>
          <w:tcPr>
            <w:tcW w:w="2590" w:type="dxa"/>
            <w:vAlign w:val="center"/>
          </w:tcPr>
          <w:p>
            <w:pPr>
              <w:snapToGrid w:val="0"/>
              <w:jc w:val="center"/>
              <w:rPr>
                <w:rFonts w:ascii="宋体" w:hAnsi="宋体"/>
                <w:bCs/>
                <w:szCs w:val="21"/>
              </w:rPr>
            </w:pPr>
            <w:r>
              <w:rPr>
                <w:rFonts w:hint="eastAsia" w:ascii="宋体" w:hAnsi="宋体"/>
                <w:bCs/>
                <w:szCs w:val="21"/>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 w:hRule="atLeast"/>
        </w:trPr>
        <w:tc>
          <w:tcPr>
            <w:tcW w:w="3897" w:type="dxa"/>
          </w:tcPr>
          <w:p>
            <w:pPr>
              <w:snapToGrid w:val="0"/>
              <w:jc w:val="center"/>
              <w:rPr>
                <w:rFonts w:ascii="宋体" w:hAnsi="宋体"/>
                <w:bCs/>
                <w:szCs w:val="21"/>
              </w:rPr>
            </w:pPr>
            <w:r>
              <w:rPr>
                <w:rFonts w:hint="eastAsia" w:ascii="宋体" w:hAnsi="宋体"/>
                <w:bCs/>
                <w:szCs w:val="21"/>
              </w:rPr>
              <w:t>1000～5000万元</w:t>
            </w:r>
          </w:p>
        </w:tc>
        <w:tc>
          <w:tcPr>
            <w:tcW w:w="2590" w:type="dxa"/>
            <w:vAlign w:val="center"/>
          </w:tcPr>
          <w:p>
            <w:pPr>
              <w:snapToGrid w:val="0"/>
              <w:jc w:val="center"/>
              <w:rPr>
                <w:rFonts w:ascii="宋体" w:hAnsi="宋体"/>
                <w:bCs/>
                <w:szCs w:val="21"/>
              </w:rPr>
            </w:pPr>
            <w:r>
              <w:rPr>
                <w:rFonts w:ascii="宋体" w:hAnsi="宋体"/>
                <w:bCs/>
                <w:szCs w:val="21"/>
              </w:rPr>
              <w:t>0.5%</w:t>
            </w:r>
          </w:p>
        </w:tc>
        <w:tc>
          <w:tcPr>
            <w:tcW w:w="2590" w:type="dxa"/>
            <w:vAlign w:val="center"/>
          </w:tcPr>
          <w:p>
            <w:pPr>
              <w:snapToGrid w:val="0"/>
              <w:jc w:val="center"/>
              <w:rPr>
                <w:rFonts w:ascii="宋体" w:hAnsi="宋体"/>
                <w:bCs/>
                <w:szCs w:val="21"/>
              </w:rPr>
            </w:pPr>
            <w:r>
              <w:rPr>
                <w:rFonts w:hint="eastAsia" w:ascii="宋体" w:hAnsi="宋体"/>
                <w:bCs/>
                <w:szCs w:val="21"/>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3897" w:type="dxa"/>
          </w:tcPr>
          <w:p>
            <w:pPr>
              <w:snapToGrid w:val="0"/>
              <w:jc w:val="center"/>
              <w:rPr>
                <w:rFonts w:ascii="宋体" w:hAnsi="宋体"/>
                <w:bCs/>
                <w:szCs w:val="21"/>
              </w:rPr>
            </w:pPr>
            <w:r>
              <w:rPr>
                <w:rFonts w:hint="eastAsia" w:ascii="宋体" w:hAnsi="宋体"/>
                <w:bCs/>
                <w:szCs w:val="21"/>
              </w:rPr>
              <w:t>5000万元～1亿元</w:t>
            </w:r>
          </w:p>
        </w:tc>
        <w:tc>
          <w:tcPr>
            <w:tcW w:w="2590" w:type="dxa"/>
            <w:vAlign w:val="center"/>
          </w:tcPr>
          <w:p>
            <w:pPr>
              <w:snapToGrid w:val="0"/>
              <w:jc w:val="center"/>
              <w:rPr>
                <w:rFonts w:ascii="宋体" w:hAnsi="宋体"/>
                <w:bCs/>
                <w:szCs w:val="21"/>
              </w:rPr>
            </w:pPr>
            <w:r>
              <w:rPr>
                <w:rFonts w:ascii="宋体" w:hAnsi="宋体"/>
                <w:bCs/>
                <w:szCs w:val="21"/>
              </w:rPr>
              <w:t>0.25%</w:t>
            </w:r>
          </w:p>
        </w:tc>
        <w:tc>
          <w:tcPr>
            <w:tcW w:w="2590" w:type="dxa"/>
            <w:vAlign w:val="center"/>
          </w:tcPr>
          <w:p>
            <w:pPr>
              <w:snapToGrid w:val="0"/>
              <w:jc w:val="center"/>
              <w:rPr>
                <w:rFonts w:ascii="宋体" w:hAnsi="宋体"/>
                <w:bCs/>
                <w:szCs w:val="21"/>
              </w:rPr>
            </w:pPr>
            <w:r>
              <w:rPr>
                <w:rFonts w:hint="eastAsia" w:ascii="宋体" w:hAnsi="宋体"/>
                <w:bCs/>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3897" w:type="dxa"/>
          </w:tcPr>
          <w:p>
            <w:pPr>
              <w:snapToGrid w:val="0"/>
              <w:jc w:val="center"/>
              <w:rPr>
                <w:rFonts w:ascii="宋体" w:hAnsi="宋体"/>
                <w:bCs/>
                <w:szCs w:val="21"/>
              </w:rPr>
            </w:pPr>
            <w:r>
              <w:rPr>
                <w:rFonts w:hint="eastAsia" w:ascii="宋体" w:hAnsi="宋体"/>
                <w:bCs/>
                <w:szCs w:val="21"/>
              </w:rPr>
              <w:t>1～5亿元</w:t>
            </w:r>
          </w:p>
        </w:tc>
        <w:tc>
          <w:tcPr>
            <w:tcW w:w="2590" w:type="dxa"/>
            <w:vAlign w:val="center"/>
          </w:tcPr>
          <w:p>
            <w:pPr>
              <w:snapToGrid w:val="0"/>
              <w:jc w:val="center"/>
              <w:rPr>
                <w:rFonts w:ascii="宋体" w:hAnsi="宋体"/>
                <w:bCs/>
                <w:szCs w:val="21"/>
              </w:rPr>
            </w:pPr>
            <w:r>
              <w:rPr>
                <w:rFonts w:hint="eastAsia" w:ascii="宋体" w:hAnsi="宋体"/>
                <w:bCs/>
                <w:szCs w:val="21"/>
              </w:rPr>
              <w:t>0.05%</w:t>
            </w:r>
          </w:p>
        </w:tc>
        <w:tc>
          <w:tcPr>
            <w:tcW w:w="2590" w:type="dxa"/>
            <w:vAlign w:val="center"/>
          </w:tcPr>
          <w:p>
            <w:pPr>
              <w:snapToGrid w:val="0"/>
              <w:jc w:val="center"/>
              <w:rPr>
                <w:rFonts w:ascii="宋体" w:hAnsi="宋体"/>
                <w:bCs/>
                <w:szCs w:val="21"/>
              </w:rPr>
            </w:pPr>
            <w:r>
              <w:rPr>
                <w:rFonts w:hint="eastAsia" w:ascii="宋体" w:hAnsi="宋体"/>
                <w:bCs/>
                <w:szCs w:val="21"/>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trPr>
        <w:tc>
          <w:tcPr>
            <w:tcW w:w="3897" w:type="dxa"/>
          </w:tcPr>
          <w:p>
            <w:pPr>
              <w:snapToGrid w:val="0"/>
              <w:jc w:val="center"/>
              <w:rPr>
                <w:rFonts w:ascii="宋体" w:hAnsi="宋体"/>
                <w:bCs/>
                <w:szCs w:val="21"/>
              </w:rPr>
            </w:pPr>
            <w:r>
              <w:rPr>
                <w:rFonts w:hint="eastAsia" w:ascii="宋体" w:hAnsi="宋体"/>
                <w:bCs/>
                <w:szCs w:val="21"/>
              </w:rPr>
              <w:t>5～10亿元</w:t>
            </w:r>
          </w:p>
        </w:tc>
        <w:tc>
          <w:tcPr>
            <w:tcW w:w="2590" w:type="dxa"/>
            <w:vAlign w:val="center"/>
          </w:tcPr>
          <w:p>
            <w:pPr>
              <w:snapToGrid w:val="0"/>
              <w:jc w:val="center"/>
              <w:rPr>
                <w:rFonts w:ascii="宋体" w:hAnsi="宋体"/>
                <w:bCs/>
                <w:szCs w:val="21"/>
              </w:rPr>
            </w:pPr>
            <w:r>
              <w:rPr>
                <w:rFonts w:hint="eastAsia" w:ascii="宋体" w:hAnsi="宋体"/>
                <w:bCs/>
                <w:szCs w:val="21"/>
              </w:rPr>
              <w:t>0.035%</w:t>
            </w:r>
          </w:p>
        </w:tc>
        <w:tc>
          <w:tcPr>
            <w:tcW w:w="2590" w:type="dxa"/>
            <w:vAlign w:val="center"/>
          </w:tcPr>
          <w:p>
            <w:pPr>
              <w:snapToGrid w:val="0"/>
              <w:jc w:val="center"/>
              <w:rPr>
                <w:rFonts w:ascii="宋体" w:hAnsi="宋体"/>
                <w:bCs/>
                <w:szCs w:val="21"/>
              </w:rPr>
            </w:pPr>
            <w:r>
              <w:rPr>
                <w:rFonts w:hint="eastAsia" w:ascii="宋体" w:hAnsi="宋体"/>
                <w:bCs/>
                <w:szCs w:val="21"/>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3897" w:type="dxa"/>
          </w:tcPr>
          <w:p>
            <w:pPr>
              <w:snapToGrid w:val="0"/>
              <w:jc w:val="center"/>
              <w:rPr>
                <w:rFonts w:ascii="宋体" w:hAnsi="宋体"/>
                <w:bCs/>
                <w:szCs w:val="21"/>
              </w:rPr>
            </w:pPr>
            <w:r>
              <w:rPr>
                <w:rFonts w:hint="eastAsia" w:ascii="宋体" w:hAnsi="宋体"/>
                <w:bCs/>
                <w:szCs w:val="21"/>
              </w:rPr>
              <w:t>10～50亿元</w:t>
            </w:r>
          </w:p>
        </w:tc>
        <w:tc>
          <w:tcPr>
            <w:tcW w:w="2590" w:type="dxa"/>
            <w:vAlign w:val="center"/>
          </w:tcPr>
          <w:p>
            <w:pPr>
              <w:snapToGrid w:val="0"/>
              <w:jc w:val="center"/>
              <w:rPr>
                <w:rFonts w:ascii="宋体" w:hAnsi="宋体"/>
                <w:bCs/>
                <w:szCs w:val="21"/>
              </w:rPr>
            </w:pPr>
            <w:r>
              <w:rPr>
                <w:rFonts w:hint="eastAsia" w:ascii="宋体" w:hAnsi="宋体"/>
                <w:bCs/>
                <w:szCs w:val="21"/>
              </w:rPr>
              <w:t>0.008%</w:t>
            </w:r>
          </w:p>
        </w:tc>
        <w:tc>
          <w:tcPr>
            <w:tcW w:w="2590" w:type="dxa"/>
            <w:vAlign w:val="center"/>
          </w:tcPr>
          <w:p>
            <w:pPr>
              <w:snapToGrid w:val="0"/>
              <w:jc w:val="center"/>
              <w:rPr>
                <w:rFonts w:ascii="宋体" w:hAnsi="宋体"/>
                <w:bCs/>
                <w:szCs w:val="21"/>
              </w:rPr>
            </w:pPr>
            <w:r>
              <w:rPr>
                <w:rFonts w:hint="eastAsia" w:ascii="宋体" w:hAnsi="宋体"/>
                <w:bCs/>
                <w:szCs w:val="21"/>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3897" w:type="dxa"/>
          </w:tcPr>
          <w:p>
            <w:pPr>
              <w:snapToGrid w:val="0"/>
              <w:jc w:val="center"/>
              <w:rPr>
                <w:rFonts w:ascii="宋体" w:hAnsi="宋体"/>
                <w:bCs/>
                <w:szCs w:val="21"/>
              </w:rPr>
            </w:pPr>
            <w:r>
              <w:rPr>
                <w:rFonts w:hint="eastAsia" w:ascii="宋体" w:hAnsi="宋体"/>
                <w:bCs/>
                <w:szCs w:val="21"/>
              </w:rPr>
              <w:t>50～100亿元</w:t>
            </w:r>
          </w:p>
        </w:tc>
        <w:tc>
          <w:tcPr>
            <w:tcW w:w="2590" w:type="dxa"/>
            <w:vAlign w:val="center"/>
          </w:tcPr>
          <w:p>
            <w:pPr>
              <w:snapToGrid w:val="0"/>
              <w:jc w:val="center"/>
              <w:rPr>
                <w:rFonts w:ascii="宋体" w:hAnsi="宋体"/>
                <w:bCs/>
                <w:szCs w:val="21"/>
              </w:rPr>
            </w:pPr>
            <w:r>
              <w:rPr>
                <w:rFonts w:hint="eastAsia" w:ascii="宋体" w:hAnsi="宋体"/>
                <w:bCs/>
                <w:szCs w:val="21"/>
              </w:rPr>
              <w:t>0.006%</w:t>
            </w:r>
          </w:p>
        </w:tc>
        <w:tc>
          <w:tcPr>
            <w:tcW w:w="2590" w:type="dxa"/>
            <w:vAlign w:val="center"/>
          </w:tcPr>
          <w:p>
            <w:pPr>
              <w:snapToGrid w:val="0"/>
              <w:jc w:val="center"/>
              <w:rPr>
                <w:rFonts w:ascii="宋体" w:hAnsi="宋体"/>
                <w:bCs/>
                <w:szCs w:val="21"/>
              </w:rPr>
            </w:pPr>
            <w:r>
              <w:rPr>
                <w:rFonts w:hint="eastAsia" w:ascii="宋体" w:hAnsi="宋体"/>
                <w:bCs/>
                <w:szCs w:val="21"/>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trPr>
        <w:tc>
          <w:tcPr>
            <w:tcW w:w="3897" w:type="dxa"/>
          </w:tcPr>
          <w:p>
            <w:pPr>
              <w:snapToGrid w:val="0"/>
              <w:jc w:val="center"/>
              <w:rPr>
                <w:rFonts w:ascii="宋体" w:hAnsi="宋体"/>
                <w:bCs/>
                <w:szCs w:val="21"/>
              </w:rPr>
            </w:pPr>
            <w:r>
              <w:rPr>
                <w:rFonts w:hint="eastAsia" w:ascii="宋体" w:hAnsi="宋体"/>
                <w:bCs/>
                <w:szCs w:val="21"/>
              </w:rPr>
              <w:t>100亿以上</w:t>
            </w:r>
          </w:p>
        </w:tc>
        <w:tc>
          <w:tcPr>
            <w:tcW w:w="2590" w:type="dxa"/>
            <w:vAlign w:val="center"/>
          </w:tcPr>
          <w:p>
            <w:pPr>
              <w:snapToGrid w:val="0"/>
              <w:jc w:val="center"/>
              <w:rPr>
                <w:rFonts w:ascii="宋体" w:hAnsi="宋体"/>
                <w:bCs/>
                <w:szCs w:val="21"/>
              </w:rPr>
            </w:pPr>
            <w:r>
              <w:rPr>
                <w:rFonts w:hint="eastAsia" w:ascii="宋体" w:hAnsi="宋体"/>
                <w:bCs/>
                <w:szCs w:val="21"/>
              </w:rPr>
              <w:t>0.004%</w:t>
            </w:r>
          </w:p>
        </w:tc>
        <w:tc>
          <w:tcPr>
            <w:tcW w:w="2590" w:type="dxa"/>
            <w:vAlign w:val="center"/>
          </w:tcPr>
          <w:p>
            <w:pPr>
              <w:snapToGrid w:val="0"/>
              <w:jc w:val="center"/>
              <w:rPr>
                <w:rFonts w:ascii="宋体" w:hAnsi="宋体"/>
                <w:bCs/>
                <w:szCs w:val="21"/>
              </w:rPr>
            </w:pPr>
            <w:r>
              <w:rPr>
                <w:rFonts w:hint="eastAsia" w:ascii="宋体" w:hAnsi="宋体"/>
                <w:bCs/>
                <w:szCs w:val="21"/>
              </w:rPr>
              <w:t>0.004%</w:t>
            </w:r>
          </w:p>
        </w:tc>
      </w:tr>
    </w:tbl>
    <w:p>
      <w:pPr>
        <w:snapToGrid w:val="0"/>
        <w:jc w:val="center"/>
        <w:rPr>
          <w:rFonts w:ascii="宋体" w:hAnsi="宋体"/>
          <w:bCs/>
          <w:szCs w:val="21"/>
        </w:rPr>
      </w:pPr>
    </w:p>
    <w:p>
      <w:pPr>
        <w:snapToGrid w:val="0"/>
        <w:spacing w:line="360" w:lineRule="auto"/>
        <w:ind w:firstLine="420" w:firstLineChars="200"/>
        <w:rPr>
          <w:rFonts w:ascii="宋体" w:hAnsi="宋体" w:cs="宋体"/>
          <w:szCs w:val="21"/>
        </w:rPr>
      </w:pPr>
      <w:r>
        <w:rPr>
          <w:rFonts w:hint="eastAsia" w:ascii="宋体" w:hAnsi="宋体" w:cs="宋体"/>
          <w:szCs w:val="21"/>
        </w:rPr>
        <w:t>例如：某货物成交金额为850万元，计算招标代理服务收费额如下：</w:t>
      </w:r>
    </w:p>
    <w:p>
      <w:pPr>
        <w:snapToGrid w:val="0"/>
        <w:spacing w:line="360" w:lineRule="auto"/>
        <w:ind w:left="332" w:leftChars="158" w:firstLine="210" w:firstLineChars="100"/>
        <w:jc w:val="center"/>
        <w:rPr>
          <w:rFonts w:ascii="宋体" w:hAnsi="宋体" w:cs="宋体"/>
          <w:szCs w:val="21"/>
        </w:rPr>
      </w:pPr>
      <w:r>
        <w:rPr>
          <w:rFonts w:hint="eastAsia" w:ascii="宋体" w:hAnsi="宋体" w:cs="宋体"/>
          <w:szCs w:val="21"/>
        </w:rPr>
        <w:t>100万元×1.5%=1.5万元</w:t>
      </w:r>
    </w:p>
    <w:p>
      <w:pPr>
        <w:snapToGrid w:val="0"/>
        <w:spacing w:line="360" w:lineRule="auto"/>
        <w:ind w:left="332" w:leftChars="158" w:firstLine="210" w:firstLineChars="100"/>
        <w:jc w:val="center"/>
        <w:rPr>
          <w:rFonts w:ascii="宋体" w:hAnsi="宋体" w:cs="宋体"/>
          <w:szCs w:val="21"/>
        </w:rPr>
      </w:pPr>
      <w:r>
        <w:rPr>
          <w:rFonts w:hint="eastAsia" w:ascii="宋体" w:hAnsi="宋体" w:cs="宋体"/>
          <w:szCs w:val="21"/>
        </w:rPr>
        <w:t>（500-100）万元×1.1%=4.4万元</w:t>
      </w:r>
    </w:p>
    <w:p>
      <w:pPr>
        <w:snapToGrid w:val="0"/>
        <w:spacing w:line="360" w:lineRule="auto"/>
        <w:ind w:left="332" w:leftChars="158" w:firstLine="210" w:firstLineChars="100"/>
        <w:jc w:val="center"/>
        <w:rPr>
          <w:rFonts w:ascii="宋体" w:hAnsi="宋体" w:cs="宋体"/>
          <w:szCs w:val="21"/>
        </w:rPr>
      </w:pPr>
      <w:r>
        <w:rPr>
          <w:rFonts w:hint="eastAsia" w:ascii="宋体" w:hAnsi="宋体" w:cs="宋体"/>
          <w:szCs w:val="21"/>
        </w:rPr>
        <w:t>（850-500）万元×0.8%=2.8万元</w:t>
      </w:r>
    </w:p>
    <w:p>
      <w:pPr>
        <w:snapToGrid w:val="0"/>
        <w:spacing w:line="360" w:lineRule="auto"/>
        <w:ind w:left="332" w:leftChars="158" w:firstLine="210" w:firstLineChars="100"/>
        <w:jc w:val="center"/>
        <w:rPr>
          <w:rFonts w:ascii="宋体" w:hAnsi="宋体" w:cs="宋体"/>
          <w:szCs w:val="21"/>
        </w:rPr>
      </w:pPr>
      <w:r>
        <w:rPr>
          <w:rFonts w:hint="eastAsia" w:ascii="宋体" w:hAnsi="宋体" w:cs="宋体"/>
          <w:szCs w:val="21"/>
        </w:rPr>
        <w:t>合计收费=1.5+4.4+2.8=8.7（万元）</w:t>
      </w:r>
    </w:p>
    <w:p>
      <w:pPr>
        <w:numPr>
          <w:ilvl w:val="1"/>
          <w:numId w:val="41"/>
        </w:numPr>
        <w:autoSpaceDE w:val="0"/>
        <w:autoSpaceDN w:val="0"/>
        <w:adjustRightInd w:val="0"/>
        <w:snapToGrid w:val="0"/>
        <w:spacing w:line="360" w:lineRule="auto"/>
        <w:jc w:val="left"/>
        <w:rPr>
          <w:rFonts w:ascii="宋体" w:hAnsi="宋体" w:cs="宋体"/>
          <w:szCs w:val="21"/>
        </w:rPr>
      </w:pPr>
      <w:r>
        <w:rPr>
          <w:rFonts w:hint="eastAsia" w:ascii="宋体" w:hAnsi="宋体" w:cs="宋体"/>
        </w:rPr>
        <w:t>经依法被认定成交无效的，</w:t>
      </w:r>
      <w:r>
        <w:rPr>
          <w:rFonts w:hint="eastAsia" w:ascii="宋体" w:hAnsi="宋体" w:cs="宋体"/>
          <w:szCs w:val="21"/>
        </w:rPr>
        <w:t>，招标代理服务费不予退还。</w:t>
      </w:r>
    </w:p>
    <w:p>
      <w:pPr>
        <w:snapToGrid w:val="0"/>
        <w:spacing w:line="360" w:lineRule="auto"/>
        <w:jc w:val="center"/>
        <w:rPr>
          <w:rFonts w:ascii="宋体" w:hAnsi="宋体"/>
          <w:b/>
          <w:sz w:val="28"/>
          <w:szCs w:val="28"/>
          <w:lang w:eastAsia="zh-TW"/>
        </w:rPr>
      </w:pPr>
      <w:bookmarkStart w:id="54" w:name="_Toc438226477"/>
      <w:r>
        <w:rPr>
          <w:rFonts w:hint="eastAsia" w:ascii="宋体" w:hAnsi="宋体"/>
          <w:b/>
          <w:sz w:val="28"/>
          <w:szCs w:val="28"/>
          <w:lang w:eastAsia="zh-TW"/>
        </w:rPr>
        <w:t>二、谈判文件</w:t>
      </w:r>
      <w:bookmarkEnd w:id="54"/>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谈判文件的编制依据与构成</w:t>
      </w:r>
    </w:p>
    <w:p>
      <w:pPr>
        <w:numPr>
          <w:ilvl w:val="1"/>
          <w:numId w:val="41"/>
        </w:numPr>
        <w:autoSpaceDE w:val="0"/>
        <w:autoSpaceDN w:val="0"/>
        <w:adjustRightInd w:val="0"/>
        <w:snapToGrid w:val="0"/>
        <w:spacing w:line="360" w:lineRule="auto"/>
        <w:rPr>
          <w:rFonts w:ascii="宋体" w:hAnsi="宋体" w:cs="黑体"/>
          <w:b/>
          <w:bCs/>
          <w:szCs w:val="21"/>
        </w:rPr>
      </w:pPr>
      <w:r>
        <w:rPr>
          <w:rFonts w:hint="eastAsia" w:ascii="宋体" w:hAnsi="宋体"/>
          <w:szCs w:val="21"/>
        </w:rPr>
        <w:t>本谈判文件的编制依据《中华人民共和国政府采购法》及其实施条例、《政府采购非招标采购方式管理办法》及其配套的法规、规章、政策等。</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要求提供的货物</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过程和合同条件在谈判文件中均有说明。谈判文件以中文文字编写。</w:t>
      </w:r>
    </w:p>
    <w:p>
      <w:pPr>
        <w:snapToGrid w:val="0"/>
        <w:spacing w:line="360" w:lineRule="auto"/>
        <w:ind w:left="630" w:leftChars="300"/>
        <w:rPr>
          <w:rFonts w:ascii="宋体" w:hAnsi="宋体"/>
          <w:szCs w:val="21"/>
        </w:rPr>
      </w:pPr>
      <w:r>
        <w:rPr>
          <w:rFonts w:hint="eastAsia" w:ascii="宋体" w:hAnsi="宋体" w:cs="宋体"/>
          <w:szCs w:val="21"/>
          <w:lang w:eastAsia="zh-TW"/>
        </w:rPr>
        <w:t>谈判文件共</w:t>
      </w:r>
      <w:r>
        <w:rPr>
          <w:rFonts w:hint="eastAsia" w:ascii="宋体" w:hAnsi="宋体" w:cs="宋体"/>
          <w:szCs w:val="21"/>
        </w:rPr>
        <w:t>七</w:t>
      </w:r>
      <w:r>
        <w:rPr>
          <w:rFonts w:hint="eastAsia" w:ascii="宋体" w:hAnsi="宋体" w:cs="宋体"/>
          <w:szCs w:val="21"/>
          <w:lang w:eastAsia="zh-TW"/>
        </w:rPr>
        <w:t>章</w:t>
      </w:r>
      <w:r>
        <w:rPr>
          <w:rFonts w:hint="eastAsia" w:ascii="宋体" w:hAnsi="宋体" w:cs="宋体"/>
          <w:szCs w:val="21"/>
        </w:rPr>
        <w:t>，</w:t>
      </w:r>
      <w:r>
        <w:rPr>
          <w:rFonts w:hint="eastAsia" w:ascii="宋体" w:hAnsi="宋体" w:cs="宋体"/>
          <w:szCs w:val="21"/>
          <w:lang w:eastAsia="zh-TW"/>
        </w:rPr>
        <w:t>分装两册。</w:t>
      </w:r>
      <w:r>
        <w:rPr>
          <w:rFonts w:hint="eastAsia" w:ascii="宋体" w:hAnsi="宋体" w:cs="宋体"/>
          <w:szCs w:val="21"/>
        </w:rPr>
        <w:t>由下列文件以及在谈判过程中发出的澄清、修改和补充文件组成，</w:t>
      </w:r>
      <w:r>
        <w:rPr>
          <w:rFonts w:hint="eastAsia" w:ascii="宋体" w:hAnsi="宋体" w:cs="宋体"/>
          <w:szCs w:val="21"/>
          <w:lang w:eastAsia="zh-TW"/>
        </w:rPr>
        <w:t>各册的内容如下</w:t>
      </w:r>
      <w:r>
        <w:rPr>
          <w:rFonts w:hint="eastAsia" w:ascii="宋体" w:hAnsi="宋体" w:cs="宋体"/>
          <w:szCs w:val="21"/>
        </w:rPr>
        <w:t>：</w:t>
      </w:r>
    </w:p>
    <w:p>
      <w:pPr>
        <w:snapToGrid w:val="0"/>
        <w:spacing w:line="360" w:lineRule="auto"/>
        <w:ind w:firstLine="495" w:firstLineChars="236"/>
        <w:rPr>
          <w:rFonts w:ascii="宋体" w:hAnsi="宋体"/>
          <w:szCs w:val="21"/>
        </w:rPr>
      </w:pPr>
      <w:r>
        <w:rPr>
          <w:rFonts w:hint="eastAsia" w:ascii="宋体" w:hAnsi="宋体" w:cs="宋体"/>
          <w:szCs w:val="21"/>
        </w:rPr>
        <w:t xml:space="preserve">第一章 </w:t>
      </w:r>
      <w:r>
        <w:rPr>
          <w:rFonts w:hint="eastAsia" w:ascii="宋体" w:hAnsi="宋体" w:cs="宋体"/>
          <w:szCs w:val="21"/>
          <w:lang w:eastAsia="zh-TW"/>
        </w:rPr>
        <w:t>谈判邀请</w:t>
      </w:r>
    </w:p>
    <w:p>
      <w:pPr>
        <w:snapToGrid w:val="0"/>
        <w:spacing w:line="360" w:lineRule="auto"/>
        <w:ind w:firstLine="495" w:firstLineChars="236"/>
        <w:rPr>
          <w:rFonts w:ascii="宋体" w:hAnsi="宋体" w:cs="宋体"/>
          <w:szCs w:val="21"/>
        </w:rPr>
      </w:pPr>
      <w:r>
        <w:rPr>
          <w:rFonts w:hint="eastAsia" w:ascii="宋体" w:hAnsi="宋体" w:cs="宋体"/>
          <w:szCs w:val="21"/>
        </w:rPr>
        <w:t xml:space="preserve">第二章 </w:t>
      </w:r>
      <w:r>
        <w:rPr>
          <w:rFonts w:hint="eastAsia" w:ascii="宋体" w:hAnsi="宋体" w:cs="宋体"/>
          <w:szCs w:val="21"/>
          <w:lang w:eastAsia="zh-TW"/>
        </w:rPr>
        <w:t>谈判资料表</w:t>
      </w:r>
    </w:p>
    <w:p>
      <w:pPr>
        <w:snapToGrid w:val="0"/>
        <w:spacing w:line="360" w:lineRule="auto"/>
        <w:ind w:firstLine="495" w:firstLineChars="236"/>
        <w:rPr>
          <w:rFonts w:ascii="宋体" w:hAnsi="宋体"/>
          <w:szCs w:val="21"/>
        </w:rPr>
      </w:pPr>
      <w:r>
        <w:rPr>
          <w:rFonts w:hint="eastAsia" w:ascii="宋体" w:hAnsi="宋体" w:cs="宋体"/>
          <w:szCs w:val="21"/>
        </w:rPr>
        <w:t>第三章 评审标准</w:t>
      </w:r>
    </w:p>
    <w:p>
      <w:pPr>
        <w:snapToGrid w:val="0"/>
        <w:spacing w:line="360" w:lineRule="auto"/>
        <w:ind w:firstLine="495" w:firstLineChars="236"/>
        <w:rPr>
          <w:rFonts w:ascii="宋体" w:hAnsi="宋体"/>
          <w:szCs w:val="21"/>
        </w:rPr>
      </w:pPr>
      <w:r>
        <w:rPr>
          <w:rFonts w:hint="eastAsia" w:ascii="宋体" w:hAnsi="宋体" w:cs="宋体"/>
          <w:szCs w:val="21"/>
        </w:rPr>
        <w:t xml:space="preserve">第四章 </w:t>
      </w:r>
      <w:r>
        <w:rPr>
          <w:rFonts w:hint="eastAsia" w:ascii="宋体" w:hAnsi="宋体" w:cs="宋体"/>
          <w:szCs w:val="21"/>
          <w:lang w:eastAsia="zh-TW"/>
        </w:rPr>
        <w:t>用户需求书</w:t>
      </w:r>
    </w:p>
    <w:p>
      <w:pPr>
        <w:snapToGrid w:val="0"/>
        <w:spacing w:line="360" w:lineRule="auto"/>
        <w:ind w:firstLine="495" w:firstLineChars="236"/>
        <w:rPr>
          <w:rFonts w:ascii="宋体" w:hAnsi="宋体"/>
          <w:szCs w:val="21"/>
        </w:rPr>
      </w:pPr>
      <w:r>
        <w:rPr>
          <w:rFonts w:hint="eastAsia" w:ascii="宋体" w:hAnsi="宋体" w:cs="宋体"/>
          <w:szCs w:val="21"/>
        </w:rPr>
        <w:t xml:space="preserve">第五章 </w:t>
      </w:r>
      <w:r>
        <w:rPr>
          <w:rFonts w:hint="eastAsia" w:ascii="宋体" w:hAnsi="宋体" w:cs="宋体"/>
          <w:szCs w:val="21"/>
          <w:lang w:eastAsia="zh-TW"/>
        </w:rPr>
        <w:t>合同</w:t>
      </w:r>
      <w:r>
        <w:rPr>
          <w:rFonts w:hint="eastAsia" w:ascii="宋体" w:hAnsi="宋体" w:cs="宋体"/>
          <w:szCs w:val="21"/>
        </w:rPr>
        <w:t>通用</w:t>
      </w:r>
      <w:r>
        <w:rPr>
          <w:rFonts w:hint="eastAsia" w:ascii="宋体" w:hAnsi="宋体" w:cs="宋体"/>
          <w:szCs w:val="21"/>
          <w:lang w:eastAsia="zh-TW"/>
        </w:rPr>
        <w:t>条款</w:t>
      </w:r>
    </w:p>
    <w:p>
      <w:pPr>
        <w:snapToGrid w:val="0"/>
        <w:spacing w:line="360" w:lineRule="auto"/>
        <w:ind w:firstLine="495" w:firstLineChars="236"/>
        <w:rPr>
          <w:rFonts w:ascii="宋体" w:hAnsi="宋体" w:cs="宋体"/>
          <w:szCs w:val="21"/>
        </w:rPr>
      </w:pPr>
      <w:r>
        <w:rPr>
          <w:rFonts w:hint="eastAsia" w:ascii="宋体" w:hAnsi="宋体" w:cs="宋体"/>
          <w:szCs w:val="21"/>
        </w:rPr>
        <w:t>第六章 响应文件格式</w:t>
      </w:r>
    </w:p>
    <w:p>
      <w:pPr>
        <w:snapToGrid w:val="0"/>
        <w:spacing w:line="360" w:lineRule="auto"/>
        <w:ind w:firstLine="495" w:firstLineChars="236"/>
        <w:rPr>
          <w:rFonts w:ascii="宋体" w:hAnsi="宋体"/>
          <w:szCs w:val="21"/>
        </w:rPr>
      </w:pPr>
      <w:r>
        <w:rPr>
          <w:rFonts w:hint="eastAsia" w:ascii="宋体" w:hAnsi="宋体" w:cs="宋体"/>
          <w:szCs w:val="21"/>
        </w:rPr>
        <w:t>第七章 谈判</w:t>
      </w:r>
      <w:r>
        <w:rPr>
          <w:rFonts w:hint="eastAsia" w:ascii="宋体" w:hAnsi="宋体" w:cs="宋体"/>
          <w:szCs w:val="21"/>
          <w:lang w:eastAsia="zh-TW"/>
        </w:rPr>
        <w:t>须知</w:t>
      </w:r>
    </w:p>
    <w:p>
      <w:pPr>
        <w:numPr>
          <w:ilvl w:val="1"/>
          <w:numId w:val="41"/>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lang w:eastAsia="zh-TW"/>
        </w:rPr>
        <w:t>响应供应商应认真阅读</w:t>
      </w:r>
      <w:r>
        <w:rPr>
          <w:rFonts w:hint="eastAsia" w:ascii="宋体" w:hAnsi="宋体" w:cs="宋体"/>
          <w:szCs w:val="21"/>
        </w:rPr>
        <w:t>、并充分理解谈判文件的全部内容（包括所有的补充、修改内容、重要事项、格式、条款和技术规范、参数及要求等）。响应供应商没有按照谈判文件要求提交全部资料，或者响应文件没有对谈判文件在各方面都作出实质性响应是响应供应商的风险，有可能导致其谈判响应被拒绝，或被认定为无效报价或被确定为响应无效。</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本谈判文件的解释权归“广东采联采购科技有限公司”所有。</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谈判文件的澄清或修改</w:t>
      </w:r>
    </w:p>
    <w:p>
      <w:pPr>
        <w:numPr>
          <w:ilvl w:val="1"/>
          <w:numId w:val="4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采购人可以对已发出的</w:t>
      </w:r>
      <w:r>
        <w:rPr>
          <w:rFonts w:hint="eastAsia" w:ascii="宋体" w:hAnsi="宋体" w:cs="宋体"/>
          <w:szCs w:val="21"/>
        </w:rPr>
        <w:t>谈判文件</w:t>
      </w:r>
      <w:r>
        <w:rPr>
          <w:rFonts w:hint="eastAsia" w:ascii="宋体" w:hAnsi="宋体" w:cs="宋体"/>
          <w:szCs w:val="21"/>
          <w:lang w:eastAsia="zh-TW"/>
        </w:rPr>
        <w:t>进行必要的澄清或修改</w:t>
      </w:r>
      <w:r>
        <w:rPr>
          <w:rFonts w:hint="eastAsia" w:ascii="宋体" w:hAnsi="宋体" w:cs="宋体"/>
          <w:szCs w:val="21"/>
        </w:rPr>
        <w:t>。</w:t>
      </w:r>
      <w:r>
        <w:rPr>
          <w:rFonts w:hint="eastAsia" w:ascii="宋体" w:hAnsi="宋体" w:cs="宋体"/>
          <w:szCs w:val="21"/>
          <w:lang w:eastAsia="zh-TW"/>
        </w:rPr>
        <w:t>澄清或者修改应当在</w:t>
      </w:r>
      <w:r>
        <w:rPr>
          <w:rFonts w:hint="eastAsia" w:ascii="宋体" w:hAnsi="宋体" w:cs="宋体"/>
          <w:szCs w:val="21"/>
        </w:rPr>
        <w:t>人民政府财政部门指定的</w:t>
      </w:r>
      <w:r>
        <w:rPr>
          <w:rFonts w:hint="eastAsia" w:ascii="宋体" w:hAnsi="宋体" w:cs="宋体"/>
          <w:szCs w:val="21"/>
          <w:lang w:eastAsia="zh-TW"/>
        </w:rPr>
        <w:t>媒体上发布澄清</w:t>
      </w:r>
      <w:r>
        <w:rPr>
          <w:rFonts w:hint="eastAsia" w:ascii="宋体" w:hAnsi="宋体"/>
          <w:szCs w:val="21"/>
        </w:rPr>
        <w:t>（更正/变更）</w:t>
      </w:r>
      <w:r>
        <w:rPr>
          <w:rFonts w:hint="eastAsia" w:ascii="宋体" w:hAnsi="宋体" w:cs="宋体"/>
          <w:szCs w:val="21"/>
          <w:lang w:eastAsia="zh-TW"/>
        </w:rPr>
        <w:t>公告</w:t>
      </w:r>
      <w:r>
        <w:rPr>
          <w:rFonts w:hint="eastAsia" w:ascii="宋体" w:hAnsi="宋体" w:cs="宋体"/>
          <w:szCs w:val="21"/>
        </w:rPr>
        <w:t>。</w:t>
      </w:r>
    </w:p>
    <w:p>
      <w:pPr>
        <w:numPr>
          <w:ilvl w:val="1"/>
          <w:numId w:val="4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r>
        <w:rPr>
          <w:rFonts w:hint="eastAsia" w:ascii="宋体" w:hAnsi="宋体" w:cs="宋体"/>
          <w:szCs w:val="21"/>
        </w:rPr>
        <w:t>。</w:t>
      </w:r>
    </w:p>
    <w:p>
      <w:pPr>
        <w:numPr>
          <w:ilvl w:val="1"/>
          <w:numId w:val="4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采购人或者采购代理机构将澄清（更正/变更）公告</w:t>
      </w:r>
      <w:r>
        <w:rPr>
          <w:rFonts w:hint="eastAsia" w:ascii="宋体" w:hAnsi="宋体" w:cs="宋体"/>
          <w:szCs w:val="21"/>
        </w:rPr>
        <w:t>书面</w:t>
      </w:r>
      <w:r>
        <w:rPr>
          <w:rFonts w:hint="eastAsia" w:ascii="宋体" w:hAnsi="宋体" w:cs="宋体"/>
          <w:szCs w:val="21"/>
          <w:lang w:eastAsia="zh-TW"/>
        </w:rPr>
        <w:t>通知已办理报名并成功购买</w:t>
      </w:r>
      <w:r>
        <w:rPr>
          <w:rFonts w:hint="eastAsia" w:ascii="宋体" w:hAnsi="宋体" w:cs="宋体"/>
          <w:szCs w:val="21"/>
        </w:rPr>
        <w:t>谈判</w:t>
      </w:r>
      <w:r>
        <w:rPr>
          <w:rFonts w:hint="eastAsia" w:ascii="宋体" w:hAnsi="宋体" w:cs="宋体"/>
          <w:szCs w:val="21"/>
          <w:lang w:eastAsia="zh-TW"/>
        </w:rPr>
        <w:t>文件的供应商，其供应商在收到澄清或修改（更正/变更）通知后应按要求以书面形式（传真或电子邮件）予以确认。如在24小时之内无书面确认则视为同意修改内容，并有责任履行相应的义务</w:t>
      </w:r>
      <w:r>
        <w:rPr>
          <w:rFonts w:hint="eastAsia" w:ascii="宋体" w:hAnsi="宋体" w:cs="宋体"/>
          <w:szCs w:val="21"/>
        </w:rPr>
        <w:t>。</w:t>
      </w:r>
    </w:p>
    <w:p>
      <w:pPr>
        <w:numPr>
          <w:ilvl w:val="1"/>
          <w:numId w:val="4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采购人</w:t>
      </w:r>
      <w:r>
        <w:rPr>
          <w:rFonts w:hint="eastAsia" w:ascii="宋体" w:hAnsi="宋体" w:cs="宋体"/>
          <w:szCs w:val="21"/>
        </w:rPr>
        <w:t>发出的</w:t>
      </w:r>
      <w:r>
        <w:rPr>
          <w:rFonts w:hint="eastAsia" w:ascii="宋体" w:hAnsi="宋体"/>
          <w:szCs w:val="21"/>
        </w:rPr>
        <w:t>澄清或修改（更正）的内容为谈判文件的组成部分，</w:t>
      </w:r>
      <w:r>
        <w:rPr>
          <w:rFonts w:hint="eastAsia" w:ascii="宋体" w:hAnsi="宋体" w:cs="宋体"/>
          <w:szCs w:val="21"/>
          <w:lang w:eastAsia="zh-TW"/>
        </w:rPr>
        <w:t>并对潜在响应供应商具有约束力</w:t>
      </w:r>
      <w:r>
        <w:rPr>
          <w:rFonts w:hint="eastAsia" w:ascii="宋体" w:hAnsi="宋体" w:cs="宋体"/>
          <w:szCs w:val="21"/>
        </w:rPr>
        <w:t>。</w:t>
      </w:r>
    </w:p>
    <w:p>
      <w:pPr>
        <w:numPr>
          <w:ilvl w:val="1"/>
          <w:numId w:val="41"/>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lang w:eastAsia="zh-TW"/>
        </w:rPr>
        <w:t>响应供应商在规定的时间内未对谈判文件提出疑问的</w:t>
      </w:r>
      <w:r>
        <w:rPr>
          <w:rFonts w:hint="eastAsia" w:ascii="宋体" w:hAnsi="宋体" w:cs="宋体"/>
          <w:szCs w:val="21"/>
        </w:rPr>
        <w:t>，</w:t>
      </w:r>
      <w:r>
        <w:rPr>
          <w:rFonts w:hint="eastAsia" w:ascii="宋体" w:hAnsi="宋体" w:cs="宋体"/>
          <w:szCs w:val="21"/>
          <w:lang w:eastAsia="zh-TW"/>
        </w:rPr>
        <w:t>采购人将视其为无异议。对谈判文件中描述有</w:t>
      </w:r>
      <w:r>
        <w:rPr>
          <w:rFonts w:hint="eastAsia" w:ascii="宋体" w:hAnsi="宋体" w:cs="宋体"/>
          <w:szCs w:val="21"/>
          <w:lang w:eastAsia="zh-CN"/>
        </w:rPr>
        <w:t>歧义</w:t>
      </w:r>
      <w:r>
        <w:rPr>
          <w:rFonts w:hint="eastAsia" w:ascii="宋体" w:hAnsi="宋体" w:cs="宋体"/>
          <w:szCs w:val="21"/>
          <w:lang w:eastAsia="zh-TW"/>
        </w:rPr>
        <w:t>或前后不一致的地方，</w:t>
      </w:r>
      <w:r>
        <w:rPr>
          <w:rFonts w:hint="eastAsia" w:ascii="宋体" w:hAnsi="宋体" w:cs="宋体"/>
          <w:szCs w:val="21"/>
        </w:rPr>
        <w:t>谈判小组</w:t>
      </w:r>
      <w:r>
        <w:rPr>
          <w:rFonts w:hint="eastAsia" w:ascii="宋体" w:hAnsi="宋体" w:cs="宋体"/>
          <w:szCs w:val="21"/>
          <w:lang w:eastAsia="zh-TW"/>
        </w:rPr>
        <w:t>有权进行评判，但对同一条款的评判应适用于每个响应供应商。</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bookmarkStart w:id="55" w:name="_Toc433127757"/>
      <w:r>
        <w:rPr>
          <w:rFonts w:hint="eastAsia" w:ascii="宋体" w:hAnsi="宋体"/>
          <w:b/>
          <w:bCs/>
          <w:szCs w:val="21"/>
        </w:rPr>
        <w:t>谈判文件的答疑或现场考察</w:t>
      </w:r>
      <w:bookmarkEnd w:id="55"/>
    </w:p>
    <w:p>
      <w:pPr>
        <w:snapToGrid w:val="0"/>
        <w:spacing w:line="360" w:lineRule="auto"/>
        <w:ind w:firstLine="210" w:firstLineChars="100"/>
        <w:rPr>
          <w:rFonts w:ascii="宋体" w:hAnsi="宋体" w:cs="宋体"/>
          <w:szCs w:val="21"/>
        </w:rPr>
      </w:pPr>
      <w:r>
        <w:rPr>
          <w:rFonts w:hint="eastAsia" w:ascii="宋体" w:hAnsi="宋体" w:cs="宋体"/>
          <w:szCs w:val="21"/>
          <w:lang w:eastAsia="zh-TW"/>
        </w:rPr>
        <w:t>除</w:t>
      </w:r>
      <w:r>
        <w:rPr>
          <w:rFonts w:hint="eastAsia" w:ascii="宋体" w:hAnsi="宋体" w:cs="宋体"/>
          <w:szCs w:val="21"/>
        </w:rPr>
        <w:t>非</w:t>
      </w:r>
      <w:r>
        <w:rPr>
          <w:rFonts w:hint="eastAsia" w:ascii="宋体" w:hAnsi="宋体" w:cs="黑体"/>
          <w:b/>
          <w:szCs w:val="21"/>
        </w:rPr>
        <w:t>谈判资料表</w:t>
      </w:r>
      <w:r>
        <w:rPr>
          <w:rFonts w:hint="eastAsia" w:ascii="宋体" w:hAnsi="宋体" w:cs="宋体"/>
          <w:szCs w:val="21"/>
        </w:rPr>
        <w:t>中另有规定，不举行项目集中答疑会或现场考察，如举行集中答疑会或现场考察的，则按以下规定：</w:t>
      </w:r>
    </w:p>
    <w:p>
      <w:pPr>
        <w:numPr>
          <w:ilvl w:val="1"/>
          <w:numId w:val="41"/>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lang w:eastAsia="zh-TW"/>
        </w:rPr>
        <w:t>在</w:t>
      </w:r>
      <w:r>
        <w:rPr>
          <w:rFonts w:hint="eastAsia" w:ascii="宋体" w:hAnsi="宋体" w:cs="黑体"/>
          <w:b/>
          <w:szCs w:val="21"/>
          <w:lang w:eastAsia="zh-TW"/>
        </w:rPr>
        <w:t>谈判资料表</w:t>
      </w:r>
      <w:r>
        <w:rPr>
          <w:rFonts w:hint="eastAsia" w:ascii="宋体" w:hAnsi="宋体" w:cs="宋体"/>
          <w:szCs w:val="21"/>
        </w:rPr>
        <w:t>中规定的日期、时间和地点组织公开答疑会或现场考察；</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供应商对本项目提出的疑问，需在答疑会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召开日前至少一个工作日将问题清单以书面形式（加盖公章）提交至采购代理机构，供应商代表于上述的时间和地点出席答疑会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已购买谈判文件的响应供应商如不出席答疑会</w:t>
      </w:r>
      <w:r>
        <w:rPr>
          <w:rFonts w:hint="eastAsia" w:ascii="宋体" w:hAnsi="宋体" w:cs="宋体"/>
          <w:szCs w:val="21"/>
        </w:rPr>
        <w:t>或现场考察</w:t>
      </w:r>
      <w:r>
        <w:rPr>
          <w:rFonts w:hint="eastAsia" w:ascii="宋体" w:hAnsi="宋体" w:cs="宋体"/>
          <w:szCs w:val="21"/>
          <w:lang w:eastAsia="zh-TW"/>
        </w:rPr>
        <w:t>视为对谈判文件所有内容无任何异议。</w:t>
      </w:r>
    </w:p>
    <w:p>
      <w:pPr>
        <w:snapToGrid w:val="0"/>
        <w:spacing w:line="360" w:lineRule="auto"/>
        <w:jc w:val="center"/>
        <w:rPr>
          <w:rFonts w:ascii="宋体" w:hAnsi="宋体"/>
          <w:b/>
          <w:sz w:val="28"/>
          <w:szCs w:val="28"/>
          <w:lang w:eastAsia="zh-TW"/>
        </w:rPr>
      </w:pPr>
      <w:bookmarkStart w:id="56" w:name="_Toc438226478"/>
      <w:r>
        <w:rPr>
          <w:rFonts w:hint="eastAsia" w:ascii="宋体" w:hAnsi="宋体"/>
          <w:b/>
          <w:sz w:val="28"/>
          <w:szCs w:val="28"/>
          <w:lang w:eastAsia="zh-TW"/>
        </w:rPr>
        <w:t>三、响应文件的编制</w:t>
      </w:r>
      <w:bookmarkEnd w:id="56"/>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响应文件的语言</w:t>
      </w:r>
    </w:p>
    <w:p>
      <w:pPr>
        <w:numPr>
          <w:ilvl w:val="1"/>
          <w:numId w:val="41"/>
        </w:numPr>
        <w:autoSpaceDE w:val="0"/>
        <w:autoSpaceDN w:val="0"/>
        <w:adjustRightInd w:val="0"/>
        <w:snapToGrid w:val="0"/>
        <w:spacing w:line="360" w:lineRule="auto"/>
        <w:jc w:val="left"/>
        <w:rPr>
          <w:rFonts w:ascii="宋体" w:hAnsi="宋体" w:cs="黑体"/>
          <w:b/>
          <w:bCs/>
          <w:szCs w:val="21"/>
        </w:rPr>
      </w:pPr>
      <w:r>
        <w:rPr>
          <w:rFonts w:hint="eastAsia" w:ascii="宋体" w:hAnsi="宋体" w:cs="宋体"/>
          <w:szCs w:val="21"/>
          <w:lang w:eastAsia="zh-TW"/>
        </w:rPr>
        <w:t>响应供应商提交的响应文件以及响应供应商与采购人就有关谈判的所有来往函电均应使用中文书写。响应供应商提交的</w:t>
      </w:r>
      <w:r>
        <w:rPr>
          <w:rFonts w:hint="eastAsia" w:ascii="宋体" w:hAnsi="宋体" w:cs="宋体"/>
          <w:lang w:eastAsia="zh-TW"/>
        </w:rPr>
        <w:t>支持文件或印刷的资料</w:t>
      </w:r>
      <w:r>
        <w:rPr>
          <w:rFonts w:hint="eastAsia" w:ascii="宋体" w:hAnsi="宋体" w:cs="宋体"/>
          <w:szCs w:val="21"/>
          <w:lang w:eastAsia="zh-TW"/>
        </w:rPr>
        <w:t>可以用另一种语言，但相应内容应附有中文翻译本，</w:t>
      </w:r>
      <w:r>
        <w:rPr>
          <w:rFonts w:hint="eastAsia" w:ascii="宋体" w:hAnsi="宋体"/>
        </w:rPr>
        <w:t>由翻译机构盖章或者翻译人员签名，两种语言不一致时以中文翻译本为准</w:t>
      </w:r>
      <w:r>
        <w:rPr>
          <w:rFonts w:hint="eastAsia" w:ascii="宋体" w:hAnsi="宋体" w:cs="宋体"/>
          <w:szCs w:val="21"/>
          <w:lang w:eastAsia="zh-TW"/>
        </w:rPr>
        <w:t>。</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响应文件的构成</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响应供应商编写的响应文件应包括</w:t>
      </w:r>
      <w:r>
        <w:rPr>
          <w:rFonts w:hint="eastAsia" w:ascii="宋体" w:hAnsi="宋体" w:cs="宋体"/>
          <w:szCs w:val="21"/>
        </w:rPr>
        <w:t>初审文件、技术文件、商务文件</w:t>
      </w:r>
      <w:r>
        <w:rPr>
          <w:rFonts w:hint="eastAsia" w:ascii="宋体" w:hAnsi="宋体" w:cs="宋体"/>
          <w:szCs w:val="21"/>
          <w:lang w:eastAsia="zh-TW"/>
        </w:rPr>
        <w:t>，编排顺序参见响应文件格式</w:t>
      </w:r>
      <w:r>
        <w:rPr>
          <w:rFonts w:hint="eastAsia" w:ascii="宋体" w:hAnsi="宋体" w:cs="宋体"/>
          <w:szCs w:val="21"/>
        </w:rPr>
        <w:t>。</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cs="宋体"/>
          <w:szCs w:val="21"/>
        </w:rPr>
        <w:t>响应文件的构成应符合法律法规及谈判文件的要求。</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响应文件的编制</w:t>
      </w:r>
    </w:p>
    <w:p>
      <w:pPr>
        <w:numPr>
          <w:ilvl w:val="1"/>
          <w:numId w:val="41"/>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lang w:eastAsia="zh-TW"/>
        </w:rPr>
        <w:t>响应供应商应完整</w:t>
      </w:r>
      <w:r>
        <w:rPr>
          <w:rFonts w:hint="eastAsia" w:ascii="宋体" w:hAnsi="宋体" w:cs="宋体"/>
          <w:szCs w:val="21"/>
        </w:rPr>
        <w:t>、真实、准确</w:t>
      </w:r>
      <w:r>
        <w:rPr>
          <w:rFonts w:hint="eastAsia" w:ascii="宋体" w:hAnsi="宋体" w:cs="宋体"/>
          <w:szCs w:val="21"/>
          <w:lang w:eastAsia="zh-TW"/>
        </w:rPr>
        <w:t>地填写谈判文件中提供的谈判函、报价表以及谈判文件中规定的其它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响应供应商对谈判文件中多个包组进行谈判的，其响应文件的编制</w:t>
      </w:r>
      <w:r>
        <w:rPr>
          <w:rFonts w:hint="eastAsia" w:ascii="宋体" w:hAnsi="宋体" w:cs="宋体"/>
          <w:szCs w:val="21"/>
        </w:rPr>
        <w:t>可按</w:t>
      </w:r>
      <w:r>
        <w:rPr>
          <w:rFonts w:hint="eastAsia" w:ascii="宋体" w:hAnsi="宋体" w:cs="宋体"/>
          <w:szCs w:val="21"/>
          <w:lang w:eastAsia="zh-TW"/>
        </w:rPr>
        <w:t>每个包组的要求分别装订和</w:t>
      </w:r>
      <w:r>
        <w:rPr>
          <w:rFonts w:hint="eastAsia" w:ascii="宋体" w:hAnsi="宋体"/>
          <w:b/>
          <w:bCs/>
        </w:rPr>
        <w:t>密封</w:t>
      </w:r>
      <w:r>
        <w:rPr>
          <w:rFonts w:hint="eastAsia" w:ascii="宋体" w:hAnsi="宋体" w:cs="宋体"/>
          <w:szCs w:val="21"/>
          <w:lang w:eastAsia="zh-TW"/>
        </w:rPr>
        <w:t>。响应供应商应当对响应文件进行装订，对未经装订的响应文件可能发生的文件散落或缺损，由此造成的后果</w:t>
      </w:r>
      <w:r>
        <w:rPr>
          <w:rFonts w:hint="eastAsia" w:ascii="宋体" w:hAnsi="宋体" w:cs="宋体"/>
          <w:szCs w:val="21"/>
        </w:rPr>
        <w:t>和</w:t>
      </w:r>
      <w:r>
        <w:rPr>
          <w:rFonts w:hint="eastAsia" w:ascii="宋体" w:hAnsi="宋体" w:cs="宋体"/>
          <w:szCs w:val="21"/>
          <w:lang w:eastAsia="zh-TW"/>
        </w:rPr>
        <w:t>责任由响应供应商承担</w:t>
      </w:r>
      <w:r>
        <w:rPr>
          <w:rFonts w:hint="eastAsia" w:ascii="宋体" w:hAnsi="宋体" w:cs="宋体"/>
          <w:szCs w:val="21"/>
        </w:rPr>
        <w:t>。</w:t>
      </w:r>
    </w:p>
    <w:p>
      <w:pPr>
        <w:numPr>
          <w:ilvl w:val="1"/>
          <w:numId w:val="41"/>
        </w:numPr>
        <w:tabs>
          <w:tab w:val="left" w:pos="4820"/>
        </w:tabs>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响应供应商必须对响应文件所提供的全部资料的真实性承担法律责任，并无条件接受采购人及政府采购监督管理部门等对其中任何资料进行核实的要求。</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如果因为响应供应商</w:t>
      </w:r>
      <w:r>
        <w:rPr>
          <w:rFonts w:hint="eastAsia" w:ascii="宋体" w:hAnsi="宋体" w:cs="宋体"/>
          <w:szCs w:val="21"/>
        </w:rPr>
        <w:t>的响应文件</w:t>
      </w:r>
      <w:r>
        <w:rPr>
          <w:rFonts w:hint="eastAsia" w:ascii="宋体" w:hAnsi="宋体" w:cs="宋体"/>
          <w:szCs w:val="21"/>
          <w:lang w:eastAsia="zh-TW"/>
        </w:rPr>
        <w:t>只填写和提供了本</w:t>
      </w:r>
      <w:r>
        <w:rPr>
          <w:rFonts w:hint="eastAsia" w:ascii="宋体" w:hAnsi="宋体" w:cs="宋体"/>
          <w:szCs w:val="21"/>
        </w:rPr>
        <w:t>谈判</w:t>
      </w:r>
      <w:r>
        <w:rPr>
          <w:rFonts w:hint="eastAsia" w:ascii="宋体" w:hAnsi="宋体" w:cs="宋体"/>
          <w:szCs w:val="21"/>
          <w:lang w:eastAsia="zh-TW"/>
        </w:rPr>
        <w:t>文件要求的部分内容和附件，或没有提供谈判文件中所要求的全部资料及数据，而给谈判造成困难的，其可能导致的结果和责任由响应供应商自行承担。</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谈判报价</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响应供应商应按照“第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采购项目技术规格、参数及要求规定的内容、责任范围进行报价。并按报价表的</w:t>
      </w:r>
      <w:r>
        <w:rPr>
          <w:rFonts w:hint="eastAsia" w:ascii="宋体" w:hAnsi="宋体" w:cs="宋体"/>
          <w:szCs w:val="21"/>
        </w:rPr>
        <w:t>要求</w:t>
      </w:r>
      <w:r>
        <w:rPr>
          <w:rFonts w:hint="eastAsia" w:ascii="宋体" w:hAnsi="宋体" w:cs="宋体"/>
          <w:szCs w:val="21"/>
          <w:lang w:eastAsia="zh-TW"/>
        </w:rPr>
        <w:t>报出价格。</w:t>
      </w:r>
      <w:r>
        <w:rPr>
          <w:rFonts w:hint="eastAsia" w:ascii="宋体" w:hAnsi="宋体" w:cs="宋体"/>
          <w:szCs w:val="21"/>
        </w:rPr>
        <w:t>响应供应商按谈判文件的要求报出全部货物及服务内容所需的所有费用，</w:t>
      </w:r>
      <w:r>
        <w:t>包括但不限于</w:t>
      </w:r>
      <w:r>
        <w:rPr>
          <w:rFonts w:hint="eastAsia" w:ascii="宋体" w:hAnsi="宋体" w:cs="宋体"/>
          <w:b/>
          <w:szCs w:val="21"/>
        </w:rPr>
        <w:t>谈判</w:t>
      </w:r>
      <w:r>
        <w:rPr>
          <w:rFonts w:hint="eastAsia" w:ascii="宋体" w:hAnsi="宋体" w:cs="宋体"/>
          <w:b/>
          <w:szCs w:val="21"/>
          <w:lang w:eastAsia="zh-TW"/>
        </w:rPr>
        <w:t>资料表</w:t>
      </w:r>
      <w:r>
        <w:rPr>
          <w:rFonts w:hint="eastAsia" w:ascii="宋体" w:hAnsi="宋体" w:cs="宋体"/>
          <w:szCs w:val="21"/>
          <w:lang w:eastAsia="zh-TW"/>
        </w:rPr>
        <w:t>中规定的</w:t>
      </w:r>
      <w:r>
        <w:rPr>
          <w:rFonts w:hint="eastAsia" w:ascii="宋体" w:hAnsi="宋体" w:cs="宋体"/>
          <w:szCs w:val="21"/>
        </w:rPr>
        <w:t>。</w:t>
      </w:r>
    </w:p>
    <w:p>
      <w:pPr>
        <w:numPr>
          <w:ilvl w:val="1"/>
          <w:numId w:val="41"/>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在谈判过程中，谈判小组发现响应供应商的最后报价明显低于其他通过资格、符合性审查响应供应商最后报价，有可能影响产品质量或者不能诚信履约的，应当要求其在谈判现场合理的时间内提供书面说明，必要时提交相关证明材料；响应供应商不能合理说明或者不能提供相关证明材料的，响应供应商不能证明其报价合理性的，谈判小组应当将其作为无效响应处理。</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cs="宋体"/>
          <w:szCs w:val="21"/>
          <w:lang w:eastAsia="zh-TW"/>
        </w:rPr>
        <w:t>报价表</w:t>
      </w:r>
      <w:r>
        <w:rPr>
          <w:rFonts w:hint="eastAsia" w:ascii="宋体" w:hAnsi="宋体" w:cs="宋体"/>
          <w:szCs w:val="21"/>
        </w:rPr>
        <w:t>内容应包含：</w:t>
      </w:r>
    </w:p>
    <w:p>
      <w:pPr>
        <w:numPr>
          <w:ilvl w:val="2"/>
          <w:numId w:val="41"/>
        </w:numPr>
        <w:tabs>
          <w:tab w:val="left" w:pos="851"/>
          <w:tab w:val="clear" w:pos="709"/>
        </w:tabs>
        <w:autoSpaceDE w:val="0"/>
        <w:autoSpaceDN w:val="0"/>
        <w:adjustRightInd w:val="0"/>
        <w:snapToGrid w:val="0"/>
        <w:spacing w:line="360" w:lineRule="auto"/>
        <w:ind w:left="851" w:hanging="851"/>
        <w:jc w:val="left"/>
        <w:rPr>
          <w:rFonts w:ascii="宋体" w:hAnsi="宋体" w:cs="宋体"/>
          <w:szCs w:val="21"/>
        </w:rPr>
      </w:pPr>
      <w:r>
        <w:rPr>
          <w:rFonts w:hint="eastAsia" w:ascii="宋体" w:hAnsi="宋体" w:cs="宋体"/>
          <w:szCs w:val="21"/>
        </w:rPr>
        <w:t>按谈判文件的要求全部货物及服务内容所需的所有费用，</w:t>
      </w:r>
      <w:r>
        <w:t>包括但不限于项目的</w:t>
      </w:r>
      <w:r>
        <w:rPr>
          <w:rFonts w:hint="eastAsia" w:ascii="宋体" w:hAnsi="宋体" w:cs="宋体"/>
          <w:szCs w:val="21"/>
        </w:rPr>
        <w:t>全部</w:t>
      </w:r>
      <w:r>
        <w:rPr>
          <w:rFonts w:hint="eastAsia" w:ascii="宋体" w:hAnsi="宋体" w:cs="宋体"/>
          <w:szCs w:val="21"/>
          <w:lang w:eastAsia="zh-TW"/>
        </w:rPr>
        <w:t>产品</w:t>
      </w:r>
      <w:r>
        <w:rPr>
          <w:rFonts w:hint="eastAsia" w:ascii="宋体" w:hAnsi="宋体" w:cs="宋体"/>
          <w:szCs w:val="21"/>
        </w:rPr>
        <w:t>价格、服务价格、</w:t>
      </w:r>
      <w:r>
        <w:rPr>
          <w:rFonts w:hint="eastAsia" w:ascii="宋体" w:hAnsi="宋体" w:cs="宋体"/>
          <w:szCs w:val="21"/>
          <w:lang w:eastAsia="zh-TW"/>
        </w:rPr>
        <w:t>应向中华人民共和国政府缴纳的增值税和其它税等全部税费、</w:t>
      </w:r>
      <w:r>
        <w:t>运输、保险、安装、伴随服务、</w:t>
      </w:r>
      <w:r>
        <w:rPr>
          <w:rFonts w:hint="eastAsia" w:ascii="宋体" w:hAnsi="宋体" w:cs="宋体"/>
          <w:szCs w:val="21"/>
          <w:lang w:eastAsia="zh-TW"/>
        </w:rPr>
        <w:t>标准附件价、备品备件及专用工具价</w:t>
      </w:r>
      <w:r>
        <w:rPr>
          <w:rFonts w:ascii="宋体" w:hAnsi="宋体" w:cs="宋体"/>
          <w:szCs w:val="21"/>
          <w:lang w:eastAsia="zh-TW"/>
        </w:rPr>
        <w:t>(</w:t>
      </w:r>
      <w:r>
        <w:rPr>
          <w:rFonts w:hint="eastAsia" w:ascii="宋体" w:hAnsi="宋体" w:cs="宋体"/>
          <w:szCs w:val="21"/>
          <w:lang w:eastAsia="zh-TW"/>
        </w:rPr>
        <w:t>如有</w:t>
      </w:r>
      <w:r>
        <w:rPr>
          <w:rFonts w:ascii="宋体" w:hAnsi="宋体" w:cs="宋体"/>
          <w:szCs w:val="21"/>
          <w:lang w:eastAsia="zh-TW"/>
        </w:rPr>
        <w:t>)、</w:t>
      </w:r>
      <w:r>
        <w:t>以及</w:t>
      </w:r>
      <w:r>
        <w:rPr>
          <w:rFonts w:hint="eastAsia" w:ascii="宋体" w:hAnsi="宋体" w:cs="宋体"/>
          <w:szCs w:val="21"/>
        </w:rPr>
        <w:t>履行合同所需的费用、</w:t>
      </w:r>
      <w:r>
        <w:t>所有风险、责任等</w:t>
      </w:r>
      <w:r>
        <w:rPr>
          <w:rFonts w:hint="eastAsia" w:ascii="宋体" w:hAnsi="宋体" w:cs="宋体"/>
          <w:szCs w:val="21"/>
        </w:rPr>
        <w:t>其他一切隐含及不可预见的费用</w:t>
      </w:r>
      <w:r>
        <w:t>。如是</w:t>
      </w:r>
      <w:r>
        <w:rPr>
          <w:rFonts w:hint="eastAsia" w:ascii="宋体" w:hAnsi="宋体" w:cs="宋体"/>
          <w:szCs w:val="21"/>
          <w:lang w:eastAsia="zh-TW"/>
        </w:rPr>
        <w:t>提供境外的货物</w:t>
      </w:r>
      <w:r>
        <w:rPr>
          <w:rFonts w:hint="eastAsia" w:ascii="宋体" w:hAnsi="宋体" w:cs="宋体"/>
          <w:szCs w:val="21"/>
        </w:rPr>
        <w:t>，</w:t>
      </w:r>
      <w:r>
        <w:rPr>
          <w:rFonts w:hint="eastAsia" w:ascii="宋体" w:hAnsi="宋体" w:cs="宋体"/>
          <w:szCs w:val="21"/>
          <w:lang w:eastAsia="zh-TW"/>
        </w:rPr>
        <w:t>还应包括货物从境外进口己缴纳或应缴纳的全部关税、增值税和其它税</w:t>
      </w:r>
      <w:r>
        <w:rPr>
          <w:rFonts w:hint="eastAsia" w:ascii="宋体" w:hAnsi="宋体" w:cs="宋体"/>
          <w:szCs w:val="21"/>
        </w:rPr>
        <w:t>、</w:t>
      </w:r>
      <w:r>
        <w:rPr>
          <w:rFonts w:hint="eastAsia" w:ascii="宋体" w:hAnsi="宋体" w:cs="宋体"/>
          <w:szCs w:val="21"/>
          <w:lang w:eastAsia="zh-TW"/>
        </w:rPr>
        <w:t>报货物境外离岸价格、国外运输费、国外运输保险费等费用。</w:t>
      </w:r>
      <w:r>
        <w:rPr>
          <w:rFonts w:hint="eastAsia" w:ascii="宋体" w:hAnsi="宋体" w:cs="宋体"/>
          <w:b/>
          <w:szCs w:val="21"/>
        </w:rPr>
        <w:t>谈判</w:t>
      </w:r>
      <w:r>
        <w:rPr>
          <w:rFonts w:hint="eastAsia" w:ascii="宋体" w:hAnsi="宋体" w:cs="宋体"/>
          <w:b/>
          <w:szCs w:val="21"/>
          <w:lang w:eastAsia="zh-TW"/>
        </w:rPr>
        <w:t>资料表</w:t>
      </w:r>
      <w:r>
        <w:rPr>
          <w:rFonts w:hint="eastAsia" w:ascii="宋体" w:hAnsi="宋体" w:cs="宋体"/>
          <w:szCs w:val="21"/>
          <w:lang w:eastAsia="zh-TW"/>
        </w:rPr>
        <w:t>中对进口环节关税和增值税</w:t>
      </w:r>
      <w:r>
        <w:rPr>
          <w:rFonts w:hint="eastAsia" w:ascii="宋体" w:hAnsi="宋体" w:cs="宋体"/>
          <w:szCs w:val="21"/>
        </w:rPr>
        <w:t>等</w:t>
      </w:r>
      <w:r>
        <w:rPr>
          <w:rFonts w:hint="eastAsia" w:ascii="宋体" w:hAnsi="宋体" w:cs="宋体"/>
          <w:szCs w:val="21"/>
          <w:lang w:eastAsia="zh-TW"/>
        </w:rPr>
        <w:t>另有规定的，从其规定</w:t>
      </w:r>
      <w:r>
        <w:rPr>
          <w:rFonts w:hint="eastAsia" w:ascii="宋体" w:hAnsi="宋体" w:cs="宋体"/>
          <w:szCs w:val="21"/>
        </w:rPr>
        <w:t>。</w:t>
      </w:r>
    </w:p>
    <w:p>
      <w:pPr>
        <w:numPr>
          <w:ilvl w:val="1"/>
          <w:numId w:val="41"/>
        </w:numPr>
        <w:autoSpaceDE w:val="0"/>
        <w:autoSpaceDN w:val="0"/>
        <w:adjustRightInd w:val="0"/>
        <w:snapToGrid w:val="0"/>
        <w:spacing w:line="360" w:lineRule="auto"/>
        <w:jc w:val="left"/>
        <w:rPr>
          <w:rFonts w:ascii="宋体" w:hAnsi="宋体" w:cs="宋体"/>
          <w:szCs w:val="21"/>
        </w:rPr>
      </w:pPr>
      <w:r>
        <w:rPr>
          <w:rFonts w:hint="eastAsia" w:ascii="宋体" w:hAnsi="宋体"/>
          <w:szCs w:val="21"/>
        </w:rPr>
        <w:t>除</w:t>
      </w:r>
      <w:r>
        <w:rPr>
          <w:rFonts w:hint="eastAsia" w:ascii="宋体" w:hAnsi="宋体"/>
          <w:b/>
          <w:szCs w:val="21"/>
        </w:rPr>
        <w:t>谈判资料表</w:t>
      </w:r>
      <w:r>
        <w:rPr>
          <w:rFonts w:hint="eastAsia" w:ascii="宋体" w:hAnsi="宋体"/>
          <w:szCs w:val="21"/>
        </w:rPr>
        <w:t>中另有规定，</w:t>
      </w:r>
      <w:r>
        <w:rPr>
          <w:rFonts w:hint="eastAsia" w:ascii="宋体" w:hAnsi="宋体" w:cs="宋体"/>
          <w:szCs w:val="21"/>
          <w:lang w:eastAsia="zh-TW"/>
        </w:rPr>
        <w:t>响应供应商所报的谈判价在合同执行过程中是固定不变的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不得以任何理由予以变更。任何包含价格调整要求的谈判被认为是非实质性响应谈判而予以拒绝。</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除</w:t>
      </w:r>
      <w:r>
        <w:rPr>
          <w:rFonts w:hint="eastAsia" w:ascii="宋体" w:hAnsi="宋体"/>
          <w:b/>
          <w:szCs w:val="21"/>
        </w:rPr>
        <w:t>谈判资料表</w:t>
      </w:r>
      <w:r>
        <w:rPr>
          <w:rFonts w:hint="eastAsia" w:ascii="宋体" w:hAnsi="宋体"/>
          <w:szCs w:val="21"/>
        </w:rPr>
        <w:t>中允许有备选方案外，本次谈判不接受选择性报价，</w:t>
      </w:r>
      <w:r>
        <w:rPr>
          <w:rFonts w:hint="eastAsia" w:ascii="宋体" w:hAnsi="宋体" w:cs="宋体"/>
          <w:szCs w:val="21"/>
        </w:rPr>
        <w:t>否则将被视为无效报价。</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cs="宋体"/>
          <w:szCs w:val="21"/>
        </w:rPr>
        <w:t>除</w:t>
      </w:r>
      <w:r>
        <w:rPr>
          <w:rFonts w:hint="eastAsia" w:ascii="宋体" w:hAnsi="宋体" w:cs="宋体"/>
          <w:b/>
          <w:szCs w:val="21"/>
        </w:rPr>
        <w:t>谈判资料表</w:t>
      </w:r>
      <w:r>
        <w:rPr>
          <w:rFonts w:hint="eastAsia" w:ascii="宋体" w:hAnsi="宋体" w:cs="宋体"/>
          <w:szCs w:val="21"/>
        </w:rPr>
        <w:t>另有规定外，本次谈判不接受具有附加条件的报价，否则将被视为无效报价。</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谈判货币</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 xml:space="preserve">响应供应商所提供的货物和服务均应以人民币报价。 </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联合体谈判</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除非</w:t>
      </w:r>
      <w:r>
        <w:rPr>
          <w:rFonts w:hint="eastAsia" w:ascii="宋体" w:hAnsi="宋体"/>
          <w:b/>
          <w:szCs w:val="21"/>
        </w:rPr>
        <w:t>谈判邀请</w:t>
      </w:r>
      <w:r>
        <w:rPr>
          <w:rFonts w:hint="eastAsia" w:ascii="宋体" w:hAnsi="宋体"/>
          <w:szCs w:val="21"/>
        </w:rPr>
        <w:t>中另有规定，不接受联合体谈判。如果谈判邀请中规定允许联合体谈判的，则必须满足：</w:t>
      </w:r>
    </w:p>
    <w:p>
      <w:pPr>
        <w:numPr>
          <w:ilvl w:val="2"/>
          <w:numId w:val="41"/>
        </w:numPr>
        <w:autoSpaceDE w:val="0"/>
        <w:autoSpaceDN w:val="0"/>
        <w:adjustRightInd w:val="0"/>
        <w:snapToGrid w:val="0"/>
        <w:spacing w:line="360" w:lineRule="auto"/>
        <w:jc w:val="left"/>
        <w:rPr>
          <w:rFonts w:ascii="宋体" w:hAnsi="宋体"/>
          <w:szCs w:val="21"/>
        </w:rPr>
      </w:pPr>
      <w:r>
        <w:rPr>
          <w:rFonts w:hint="eastAsia" w:ascii="宋体" w:hAnsi="宋体" w:cs="宋体"/>
          <w:szCs w:val="21"/>
          <w:lang w:eastAsia="zh-TW"/>
        </w:rPr>
        <w:t>以联合体形式参加谈判的</w:t>
      </w:r>
      <w:r>
        <w:rPr>
          <w:rFonts w:hint="eastAsia" w:ascii="宋体" w:hAnsi="宋体"/>
          <w:szCs w:val="21"/>
        </w:rPr>
        <w:t>，联合体各方均必须符合</w:t>
      </w:r>
      <w:r>
        <w:rPr>
          <w:rFonts w:hint="eastAsia" w:ascii="宋体" w:hAnsi="宋体"/>
          <w:bCs/>
          <w:szCs w:val="20"/>
        </w:rPr>
        <w:t>《中华人民共和国政府采购法》第二十二条第（一）至（六）项规定，对“资格要求”的特殊条款要求至少有一方符合。</w:t>
      </w:r>
    </w:p>
    <w:p>
      <w:pPr>
        <w:numPr>
          <w:ilvl w:val="2"/>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联合体中有同类资质的响应供应商按照联合体分工承担相同工作的，应当按照资质等级较低的响应供应商确定资质等级。</w:t>
      </w:r>
    </w:p>
    <w:p>
      <w:pPr>
        <w:numPr>
          <w:ilvl w:val="2"/>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联合体谈判的，</w:t>
      </w:r>
      <w:r>
        <w:rPr>
          <w:rFonts w:hint="eastAsia" w:ascii="宋体" w:hAnsi="宋体" w:cs="宋体"/>
          <w:szCs w:val="21"/>
          <w:lang w:eastAsia="zh-TW"/>
        </w:rPr>
        <w:t>必须提供各方</w:t>
      </w:r>
      <w:r>
        <w:rPr>
          <w:rFonts w:hint="eastAsia" w:ascii="宋体" w:hAnsi="宋体" w:cs="宋体"/>
          <w:szCs w:val="21"/>
        </w:rPr>
        <w:t>共同</w:t>
      </w:r>
      <w:r>
        <w:rPr>
          <w:rFonts w:hint="eastAsia" w:ascii="宋体" w:hAnsi="宋体" w:cs="宋体"/>
          <w:szCs w:val="21"/>
          <w:lang w:eastAsia="zh-TW"/>
        </w:rPr>
        <w:t>签订的</w:t>
      </w:r>
      <w:r>
        <w:rPr>
          <w:rFonts w:hint="eastAsia" w:ascii="宋体" w:hAnsi="宋体" w:cs="宋体"/>
          <w:szCs w:val="21"/>
        </w:rPr>
        <w:t>《联合投标协议书》</w:t>
      </w:r>
      <w:r>
        <w:rPr>
          <w:rFonts w:hint="eastAsia" w:ascii="宋体" w:hAnsi="宋体"/>
          <w:szCs w:val="21"/>
        </w:rPr>
        <w:t>，明确约定各方承担的工作和相应的责任。联合体各方签订</w:t>
      </w:r>
      <w:r>
        <w:rPr>
          <w:rFonts w:hint="eastAsia" w:ascii="宋体" w:hAnsi="宋体" w:cs="宋体"/>
          <w:szCs w:val="21"/>
        </w:rPr>
        <w:t>《联合投标协议书》</w:t>
      </w:r>
      <w:r>
        <w:rPr>
          <w:rFonts w:hint="eastAsia" w:ascii="宋体" w:hAnsi="宋体"/>
          <w:szCs w:val="21"/>
        </w:rPr>
        <w:t>后，不得再以自己名义单独在同一项目（或包组）中谈判，也不得组成新的联合体参加同一项目（或包组）谈判；</w:t>
      </w:r>
    </w:p>
    <w:p>
      <w:pPr>
        <w:numPr>
          <w:ilvl w:val="2"/>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联合体中有同类资质的响应供应商按照联合体分工承担相同工作的，应当按照资质等级较低的响应供应商确定资质等级。</w:t>
      </w:r>
    </w:p>
    <w:p>
      <w:pPr>
        <w:numPr>
          <w:ilvl w:val="2"/>
          <w:numId w:val="41"/>
        </w:numPr>
        <w:autoSpaceDE w:val="0"/>
        <w:autoSpaceDN w:val="0"/>
        <w:adjustRightInd w:val="0"/>
        <w:snapToGrid w:val="0"/>
        <w:spacing w:line="360" w:lineRule="auto"/>
        <w:jc w:val="left"/>
        <w:rPr>
          <w:rFonts w:ascii="宋体" w:hAnsi="宋体"/>
          <w:szCs w:val="21"/>
        </w:rPr>
      </w:pPr>
      <w:r>
        <w:rPr>
          <w:rFonts w:hint="eastAsia" w:ascii="宋体" w:hAnsi="宋体" w:cs="宋体"/>
          <w:szCs w:val="21"/>
          <w:lang w:eastAsia="zh-TW"/>
        </w:rPr>
        <w:t>联合体谈判的，可以由联合体中的一方或者共同提交谈判保证金，以一方名义提交谈判保证金的，对联合体各方均具有约束力。</w:t>
      </w:r>
    </w:p>
    <w:p>
      <w:pPr>
        <w:numPr>
          <w:ilvl w:val="2"/>
          <w:numId w:val="41"/>
        </w:numPr>
        <w:autoSpaceDE w:val="0"/>
        <w:autoSpaceDN w:val="0"/>
        <w:adjustRightInd w:val="0"/>
        <w:snapToGrid w:val="0"/>
        <w:spacing w:line="360" w:lineRule="auto"/>
        <w:jc w:val="left"/>
        <w:rPr>
          <w:rFonts w:ascii="宋体" w:hAnsi="宋体"/>
          <w:szCs w:val="21"/>
        </w:rPr>
      </w:pPr>
      <w:r>
        <w:rPr>
          <w:rFonts w:ascii="宋体" w:hAnsi="宋体"/>
          <w:szCs w:val="21"/>
        </w:rPr>
        <w:t>联合体</w:t>
      </w:r>
      <w:r>
        <w:rPr>
          <w:rFonts w:hint="eastAsia" w:ascii="宋体" w:hAnsi="宋体"/>
          <w:szCs w:val="21"/>
        </w:rPr>
        <w:t>成交</w:t>
      </w:r>
      <w:r>
        <w:rPr>
          <w:rFonts w:ascii="宋体" w:hAnsi="宋体"/>
          <w:szCs w:val="21"/>
        </w:rPr>
        <w:t>的，联合体各方应当共同与</w:t>
      </w:r>
      <w:r>
        <w:rPr>
          <w:rFonts w:hint="eastAsia" w:ascii="宋体" w:hAnsi="宋体"/>
          <w:szCs w:val="21"/>
        </w:rPr>
        <w:t>采购</w:t>
      </w:r>
      <w:r>
        <w:rPr>
          <w:rFonts w:ascii="宋体" w:hAnsi="宋体"/>
          <w:szCs w:val="21"/>
        </w:rPr>
        <w:t>人签订合同。</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证明响应供应商合格和资格的文件</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szCs w:val="21"/>
        </w:rPr>
        <w:t>响应供应商应提交证明其有资格参加谈判和成交后有能力履行合同的文件</w:t>
      </w:r>
      <w:r>
        <w:rPr>
          <w:rFonts w:hint="eastAsia" w:ascii="宋体" w:hAnsi="宋体" w:cs="宋体"/>
          <w:szCs w:val="21"/>
        </w:rPr>
        <w:t>，</w:t>
      </w:r>
      <w:r>
        <w:rPr>
          <w:rFonts w:hint="eastAsia" w:ascii="宋体" w:hAnsi="宋体" w:cs="宋体"/>
          <w:szCs w:val="21"/>
          <w:lang w:eastAsia="zh-TW"/>
        </w:rPr>
        <w:t>并作为其响应文件的一部分。如果响应供应商为联合体</w:t>
      </w:r>
      <w:r>
        <w:rPr>
          <w:rFonts w:hint="eastAsia" w:ascii="宋体" w:hAnsi="宋体" w:cs="宋体"/>
          <w:szCs w:val="21"/>
        </w:rPr>
        <w:t>，</w:t>
      </w:r>
      <w:r>
        <w:rPr>
          <w:rFonts w:hint="eastAsia" w:ascii="宋体" w:hAnsi="宋体" w:cs="宋体"/>
          <w:szCs w:val="21"/>
          <w:lang w:eastAsia="zh-TW"/>
        </w:rPr>
        <w:t>应提交联合体各方的资格证明文件、</w:t>
      </w:r>
      <w:r>
        <w:rPr>
          <w:rFonts w:hint="eastAsia" w:ascii="宋体" w:hAnsi="宋体" w:cs="宋体"/>
          <w:szCs w:val="21"/>
        </w:rPr>
        <w:t>共同谈判协议</w:t>
      </w:r>
      <w:r>
        <w:rPr>
          <w:rFonts w:hint="eastAsia" w:ascii="宋体" w:hAnsi="宋体" w:cs="宋体"/>
          <w:szCs w:val="21"/>
          <w:lang w:eastAsia="zh-TW"/>
        </w:rPr>
        <w:t>并注明主体方</w:t>
      </w:r>
      <w:r>
        <w:rPr>
          <w:rFonts w:hint="eastAsia" w:ascii="宋体" w:hAnsi="宋体" w:cs="宋体"/>
          <w:szCs w:val="21"/>
        </w:rPr>
        <w:t>及各方拟承担的工作和责任。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将导致其谈判</w:t>
      </w:r>
      <w:r>
        <w:rPr>
          <w:rFonts w:hint="eastAsia" w:ascii="宋体" w:hAnsi="宋体" w:cs="宋体"/>
          <w:szCs w:val="21"/>
        </w:rPr>
        <w:t>报价无效。</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szCs w:val="21"/>
        </w:rPr>
        <w:t>响应供应商提交的资格证明文件应证明其满足供应商的资格要求</w:t>
      </w:r>
      <w:r>
        <w:rPr>
          <w:rFonts w:hint="eastAsia" w:ascii="宋体" w:hAnsi="宋体" w:cs="宋体"/>
          <w:szCs w:val="21"/>
          <w:lang w:eastAsia="zh-TW"/>
        </w:rPr>
        <w:t>。</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证明货物的合格性和符合谈判文件规定的文件</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szCs w:val="21"/>
        </w:rPr>
        <w:t>响应供应商应提交证明文件</w:t>
      </w:r>
      <w:r>
        <w:rPr>
          <w:rFonts w:hint="eastAsia" w:ascii="宋体" w:hAnsi="宋体" w:cs="宋体"/>
          <w:szCs w:val="21"/>
        </w:rPr>
        <w:t>，</w:t>
      </w:r>
      <w:r>
        <w:rPr>
          <w:rFonts w:hint="eastAsia" w:ascii="宋体" w:hAnsi="宋体" w:cs="宋体"/>
          <w:szCs w:val="21"/>
          <w:lang w:eastAsia="zh-TW"/>
        </w:rPr>
        <w:t>证明其</w:t>
      </w:r>
      <w:r>
        <w:rPr>
          <w:rFonts w:hint="eastAsia" w:ascii="宋体" w:hAnsi="宋体" w:cs="宋体"/>
          <w:szCs w:val="21"/>
        </w:rPr>
        <w:t>谈判</w:t>
      </w:r>
      <w:r>
        <w:rPr>
          <w:rFonts w:hint="eastAsia" w:ascii="宋体" w:hAnsi="宋体" w:cs="宋体"/>
          <w:szCs w:val="21"/>
          <w:lang w:eastAsia="zh-TW"/>
        </w:rPr>
        <w:t>的货物和服务的合格性符合谈判文件规定。该证明文件作为响应文件的一部分。</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cs="宋体"/>
          <w:szCs w:val="21"/>
          <w:lang w:eastAsia="zh-TW"/>
        </w:rPr>
        <w:t>货物和服务合格性</w:t>
      </w:r>
      <w:r>
        <w:rPr>
          <w:rFonts w:hint="eastAsia" w:ascii="宋体" w:hAnsi="宋体"/>
          <w:szCs w:val="21"/>
        </w:rPr>
        <w:t>的证明文件应包括报价表中对货物和服务原产地的说明。</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szCs w:val="21"/>
        </w:rPr>
        <w:t>证明货物和服务与</w:t>
      </w:r>
      <w:r>
        <w:rPr>
          <w:rFonts w:hint="eastAsia" w:ascii="宋体" w:hAnsi="宋体" w:cs="宋体"/>
          <w:szCs w:val="21"/>
          <w:lang w:eastAsia="zh-TW"/>
        </w:rPr>
        <w:t>谈判文件的要求相一致的文件</w:t>
      </w:r>
      <w:r>
        <w:rPr>
          <w:rFonts w:hint="eastAsia" w:ascii="宋体" w:hAnsi="宋体" w:cs="宋体"/>
          <w:szCs w:val="21"/>
        </w:rPr>
        <w:t>，</w:t>
      </w:r>
      <w:r>
        <w:rPr>
          <w:rFonts w:hint="eastAsia" w:ascii="宋体" w:hAnsi="宋体" w:cs="宋体"/>
          <w:szCs w:val="21"/>
          <w:lang w:eastAsia="zh-TW"/>
        </w:rPr>
        <w:t>可以是文字资料、图纸和数据</w:t>
      </w:r>
      <w:r>
        <w:rPr>
          <w:rFonts w:hint="eastAsia" w:ascii="宋体" w:hAnsi="宋体"/>
          <w:szCs w:val="21"/>
        </w:rPr>
        <w:t>，</w:t>
      </w:r>
      <w:r>
        <w:rPr>
          <w:rFonts w:hint="eastAsia" w:ascii="宋体" w:hAnsi="宋体" w:cs="宋体"/>
          <w:szCs w:val="21"/>
          <w:lang w:eastAsia="zh-TW"/>
        </w:rPr>
        <w:t>它包括</w:t>
      </w:r>
      <w:r>
        <w:rPr>
          <w:rFonts w:hint="eastAsia" w:ascii="宋体" w:hAnsi="宋体" w:cs="宋体"/>
          <w:szCs w:val="21"/>
        </w:rPr>
        <w:t>：</w:t>
      </w:r>
    </w:p>
    <w:p>
      <w:pPr>
        <w:numPr>
          <w:ilvl w:val="2"/>
          <w:numId w:val="41"/>
        </w:numPr>
        <w:autoSpaceDE w:val="0"/>
        <w:autoSpaceDN w:val="0"/>
        <w:adjustRightInd w:val="0"/>
        <w:snapToGrid w:val="0"/>
        <w:spacing w:line="360" w:lineRule="auto"/>
        <w:rPr>
          <w:rFonts w:ascii="宋体" w:hAnsi="宋体"/>
          <w:b/>
          <w:bCs/>
          <w:szCs w:val="21"/>
        </w:rPr>
      </w:pPr>
      <w:r>
        <w:rPr>
          <w:rFonts w:hint="eastAsia" w:ascii="宋体" w:hAnsi="宋体"/>
          <w:szCs w:val="21"/>
        </w:rPr>
        <w:t>货物主要技术指标和性能的详细说明</w:t>
      </w:r>
      <w:r>
        <w:rPr>
          <w:rFonts w:hint="eastAsia" w:ascii="宋体" w:hAnsi="宋体" w:cs="宋体"/>
          <w:szCs w:val="21"/>
        </w:rPr>
        <w:t>；</w:t>
      </w:r>
    </w:p>
    <w:p>
      <w:pPr>
        <w:numPr>
          <w:ilvl w:val="2"/>
          <w:numId w:val="41"/>
        </w:numPr>
        <w:autoSpaceDE w:val="0"/>
        <w:autoSpaceDN w:val="0"/>
        <w:adjustRightInd w:val="0"/>
        <w:snapToGrid w:val="0"/>
        <w:spacing w:line="360" w:lineRule="auto"/>
        <w:rPr>
          <w:rFonts w:ascii="宋体" w:hAnsi="宋体"/>
          <w:b/>
          <w:bCs/>
          <w:szCs w:val="21"/>
        </w:rPr>
      </w:pPr>
      <w:r>
        <w:rPr>
          <w:rFonts w:hint="eastAsia" w:ascii="宋体" w:hAnsi="宋体"/>
          <w:szCs w:val="21"/>
        </w:rPr>
        <w:t>货物正常</w:t>
      </w:r>
      <w:r>
        <w:rPr>
          <w:rFonts w:hint="eastAsia" w:ascii="宋体" w:hAnsi="宋体" w:cs="宋体"/>
          <w:szCs w:val="21"/>
          <w:lang w:eastAsia="zh-TW"/>
        </w:rPr>
        <w:t>使用所必须的备件和专用工具清单</w:t>
      </w:r>
      <w:r>
        <w:rPr>
          <w:rFonts w:hint="eastAsia" w:ascii="宋体" w:hAnsi="宋体" w:cs="宋体"/>
          <w:szCs w:val="21"/>
        </w:rPr>
        <w:t>，</w:t>
      </w:r>
      <w:r>
        <w:rPr>
          <w:rFonts w:hint="eastAsia" w:ascii="宋体" w:hAnsi="宋体" w:cs="宋体"/>
          <w:szCs w:val="21"/>
          <w:lang w:eastAsia="zh-TW"/>
        </w:rPr>
        <w:t>包括备件和专用工具的货源及现行价格</w:t>
      </w:r>
      <w:r>
        <w:rPr>
          <w:rFonts w:hint="eastAsia" w:ascii="宋体" w:hAnsi="宋体" w:cs="宋体"/>
          <w:szCs w:val="21"/>
        </w:rPr>
        <w:t>；</w:t>
      </w:r>
    </w:p>
    <w:p>
      <w:pPr>
        <w:numPr>
          <w:ilvl w:val="2"/>
          <w:numId w:val="41"/>
        </w:numPr>
        <w:autoSpaceDE w:val="0"/>
        <w:autoSpaceDN w:val="0"/>
        <w:adjustRightInd w:val="0"/>
        <w:snapToGrid w:val="0"/>
        <w:spacing w:line="360" w:lineRule="auto"/>
        <w:rPr>
          <w:rFonts w:ascii="宋体" w:hAnsi="宋体"/>
          <w:b/>
          <w:bCs/>
          <w:szCs w:val="21"/>
        </w:rPr>
      </w:pPr>
      <w:r>
        <w:rPr>
          <w:rFonts w:hint="eastAsia" w:ascii="宋体" w:hAnsi="宋体"/>
          <w:szCs w:val="21"/>
        </w:rPr>
        <w:t>对照谈判文件技术规格</w:t>
      </w:r>
      <w:r>
        <w:rPr>
          <w:rFonts w:hint="eastAsia" w:ascii="宋体" w:hAnsi="宋体" w:cs="宋体"/>
          <w:szCs w:val="21"/>
        </w:rPr>
        <w:t>，</w:t>
      </w:r>
      <w:r>
        <w:rPr>
          <w:rFonts w:hint="eastAsia" w:ascii="宋体" w:hAnsi="宋体" w:cs="宋体"/>
          <w:szCs w:val="21"/>
          <w:lang w:eastAsia="zh-TW"/>
        </w:rPr>
        <w:t>逐条说明所提供货物和服务已对谈判文件的技术规格作出了实质性的响应</w:t>
      </w:r>
      <w:r>
        <w:rPr>
          <w:rFonts w:hint="eastAsia" w:ascii="宋体" w:hAnsi="宋体" w:cs="宋体"/>
          <w:szCs w:val="21"/>
        </w:rPr>
        <w:t>，</w:t>
      </w:r>
      <w:r>
        <w:rPr>
          <w:rFonts w:hint="eastAsia" w:ascii="宋体" w:hAnsi="宋体" w:cs="宋体"/>
          <w:szCs w:val="21"/>
          <w:lang w:eastAsia="zh-TW"/>
        </w:rPr>
        <w:t>并申明与技术规格条文的偏差和例外。特别对有具体参数要求的指标</w:t>
      </w:r>
      <w:r>
        <w:rPr>
          <w:rFonts w:hint="eastAsia" w:ascii="宋体" w:hAnsi="宋体" w:cs="宋体"/>
          <w:szCs w:val="21"/>
        </w:rPr>
        <w:t>，</w:t>
      </w:r>
      <w:r>
        <w:rPr>
          <w:rFonts w:hint="eastAsia" w:ascii="宋体" w:hAnsi="宋体" w:cs="宋体"/>
          <w:szCs w:val="21"/>
          <w:lang w:eastAsia="zh-TW"/>
        </w:rPr>
        <w:t>响应供应商须提供所投设备的具体参数值。</w:t>
      </w:r>
      <w:r>
        <w:rPr>
          <w:rFonts w:hint="eastAsia" w:ascii="宋体" w:hAnsi="宋体"/>
          <w:szCs w:val="21"/>
        </w:rPr>
        <w:t>响应供应商在阐述</w:t>
      </w:r>
      <w:r>
        <w:rPr>
          <w:rFonts w:hint="eastAsia" w:ascii="宋体" w:hAnsi="宋体" w:cs="宋体"/>
          <w:szCs w:val="21"/>
          <w:lang w:eastAsia="zh-TW"/>
        </w:rPr>
        <w:t>时应注意谈判文件的技术规格中指出的工艺</w:t>
      </w:r>
      <w:r>
        <w:rPr>
          <w:rFonts w:hint="eastAsia" w:ascii="宋体" w:hAnsi="宋体" w:cs="宋体"/>
          <w:szCs w:val="21"/>
        </w:rPr>
        <w:t>、</w:t>
      </w:r>
      <w:r>
        <w:rPr>
          <w:rFonts w:hint="eastAsia" w:ascii="宋体" w:hAnsi="宋体" w:cs="宋体"/>
          <w:szCs w:val="21"/>
          <w:lang w:eastAsia="zh-TW"/>
        </w:rPr>
        <w:t>材料和设备的标准</w:t>
      </w:r>
      <w:r>
        <w:rPr>
          <w:rFonts w:hint="eastAsia" w:ascii="宋体" w:hAnsi="宋体" w:cs="宋体"/>
          <w:szCs w:val="21"/>
        </w:rPr>
        <w:t>，</w:t>
      </w:r>
      <w:r>
        <w:rPr>
          <w:rFonts w:hint="eastAsia" w:ascii="宋体" w:hAnsi="宋体" w:cs="宋体"/>
          <w:szCs w:val="21"/>
          <w:lang w:eastAsia="zh-TW"/>
        </w:rPr>
        <w:t>响应供应商在谈判中要实质上满足或超过谈判文件的要求。</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谈判保证金</w:t>
      </w:r>
    </w:p>
    <w:p>
      <w:pPr>
        <w:numPr>
          <w:ilvl w:val="1"/>
          <w:numId w:val="41"/>
        </w:numPr>
        <w:autoSpaceDE w:val="0"/>
        <w:autoSpaceDN w:val="0"/>
        <w:adjustRightInd w:val="0"/>
        <w:snapToGrid w:val="0"/>
        <w:spacing w:line="360" w:lineRule="auto"/>
        <w:jc w:val="left"/>
        <w:rPr>
          <w:rFonts w:ascii="宋体" w:hAnsi="宋体" w:cs="宋体"/>
          <w:szCs w:val="21"/>
        </w:rPr>
      </w:pPr>
      <w:r>
        <w:rPr>
          <w:rFonts w:hint="eastAsia" w:ascii="宋体" w:hAnsi="宋体"/>
          <w:szCs w:val="21"/>
        </w:rPr>
        <w:t>响应供应商应按</w:t>
      </w:r>
      <w:r>
        <w:rPr>
          <w:rFonts w:hint="eastAsia" w:ascii="宋体" w:hAnsi="宋体"/>
          <w:b/>
          <w:szCs w:val="21"/>
        </w:rPr>
        <w:t>谈判资料表</w:t>
      </w:r>
      <w:r>
        <w:rPr>
          <w:rFonts w:hint="eastAsia" w:ascii="宋体" w:hAnsi="宋体"/>
          <w:szCs w:val="21"/>
        </w:rPr>
        <w:t>中的规定</w:t>
      </w:r>
      <w:r>
        <w:rPr>
          <w:rFonts w:hint="eastAsia" w:ascii="宋体" w:hAnsi="宋体" w:cs="宋体"/>
          <w:szCs w:val="21"/>
        </w:rPr>
        <w:t>缴纳</w:t>
      </w:r>
      <w:r>
        <w:rPr>
          <w:rFonts w:hint="eastAsia" w:ascii="宋体" w:hAnsi="宋体" w:cs="宋体"/>
          <w:szCs w:val="21"/>
          <w:lang w:eastAsia="zh-TW"/>
        </w:rPr>
        <w:t>谈判保证金</w:t>
      </w:r>
      <w:r>
        <w:rPr>
          <w:rFonts w:hint="eastAsia" w:ascii="宋体" w:hAnsi="宋体" w:cs="宋体"/>
          <w:szCs w:val="21"/>
        </w:rPr>
        <w:t>，</w:t>
      </w:r>
      <w:r>
        <w:rPr>
          <w:rFonts w:hint="eastAsia" w:ascii="宋体" w:hAnsi="宋体" w:cs="宋体"/>
          <w:szCs w:val="21"/>
          <w:lang w:eastAsia="zh-TW"/>
        </w:rPr>
        <w:t>并作为其</w:t>
      </w:r>
      <w:r>
        <w:rPr>
          <w:rFonts w:hint="eastAsia" w:ascii="宋体" w:hAnsi="宋体" w:cs="宋体"/>
          <w:szCs w:val="21"/>
        </w:rPr>
        <w:t>响应文件的组成</w:t>
      </w:r>
      <w:r>
        <w:rPr>
          <w:rFonts w:hint="eastAsia" w:ascii="宋体" w:hAnsi="宋体" w:cs="宋体"/>
          <w:szCs w:val="21"/>
          <w:lang w:eastAsia="zh-TW"/>
        </w:rPr>
        <w:t>部分。</w:t>
      </w:r>
    </w:p>
    <w:p>
      <w:pPr>
        <w:numPr>
          <w:ilvl w:val="1"/>
          <w:numId w:val="41"/>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lang w:eastAsia="zh-TW"/>
        </w:rPr>
        <w:t>未成交的响应供应商保证金，在成交通知书发出后五个工作日内不计利息原额退还</w:t>
      </w:r>
      <w:r>
        <w:rPr>
          <w:rFonts w:hint="eastAsia" w:ascii="宋体" w:hAnsi="宋体" w:cs="宋体"/>
          <w:szCs w:val="21"/>
        </w:rPr>
        <w:t>，</w:t>
      </w:r>
      <w:r>
        <w:rPr>
          <w:rFonts w:hint="eastAsia" w:ascii="宋体" w:hAnsi="宋体"/>
        </w:rPr>
        <w:t>但因供应商自身原因导致无法及时退还的除外</w:t>
      </w:r>
      <w:r>
        <w:rPr>
          <w:rFonts w:hint="eastAsia" w:ascii="宋体" w:hAnsi="宋体" w:cs="宋体"/>
          <w:szCs w:val="21"/>
          <w:lang w:eastAsia="zh-TW"/>
        </w:rPr>
        <w:t>。</w:t>
      </w:r>
    </w:p>
    <w:p>
      <w:pPr>
        <w:numPr>
          <w:ilvl w:val="1"/>
          <w:numId w:val="41"/>
        </w:numPr>
        <w:autoSpaceDE w:val="0"/>
        <w:autoSpaceDN w:val="0"/>
        <w:adjustRightInd w:val="0"/>
        <w:snapToGrid w:val="0"/>
        <w:spacing w:line="360" w:lineRule="auto"/>
        <w:jc w:val="left"/>
        <w:rPr>
          <w:rFonts w:ascii="宋体" w:hAnsi="宋体" w:cs="宋体"/>
          <w:szCs w:val="21"/>
        </w:rPr>
      </w:pPr>
      <w:r>
        <w:rPr>
          <w:rFonts w:hint="eastAsia" w:ascii="宋体" w:hAnsi="宋体"/>
          <w:szCs w:val="21"/>
        </w:rPr>
        <w:t>成交供应商的谈判保证金</w:t>
      </w:r>
      <w:r>
        <w:rPr>
          <w:rFonts w:hint="eastAsia" w:ascii="宋体" w:hAnsi="宋体" w:cs="宋体"/>
          <w:szCs w:val="21"/>
        </w:rPr>
        <w:t>，</w:t>
      </w:r>
      <w:r>
        <w:rPr>
          <w:rFonts w:hint="eastAsia" w:ascii="宋体" w:hAnsi="宋体" w:cs="宋体"/>
          <w:szCs w:val="21"/>
          <w:lang w:eastAsia="zh-TW"/>
        </w:rPr>
        <w:t>在成交供应商与采购人签订采购合同后五个工作日内不计利息原额退还</w:t>
      </w:r>
      <w:r>
        <w:rPr>
          <w:rFonts w:hint="eastAsia" w:ascii="宋体" w:hAnsi="宋体" w:cs="宋体"/>
          <w:szCs w:val="21"/>
        </w:rPr>
        <w:t>，</w:t>
      </w:r>
      <w:r>
        <w:rPr>
          <w:rFonts w:hint="eastAsia" w:ascii="宋体" w:hAnsi="宋体"/>
        </w:rPr>
        <w:t>但因供应商自身原因导致无法及时退还的除外</w:t>
      </w:r>
      <w:r>
        <w:rPr>
          <w:rFonts w:hint="eastAsia" w:ascii="宋体" w:hAnsi="宋体" w:cs="宋体"/>
          <w:szCs w:val="21"/>
        </w:rPr>
        <w:t>。</w:t>
      </w:r>
    </w:p>
    <w:p>
      <w:pPr>
        <w:numPr>
          <w:ilvl w:val="1"/>
          <w:numId w:val="41"/>
        </w:numPr>
        <w:autoSpaceDE w:val="0"/>
        <w:autoSpaceDN w:val="0"/>
        <w:adjustRightInd w:val="0"/>
        <w:snapToGrid w:val="0"/>
        <w:spacing w:line="360" w:lineRule="auto"/>
        <w:jc w:val="left"/>
        <w:rPr>
          <w:rFonts w:ascii="宋体" w:hAnsi="宋体" w:cs="宋体"/>
          <w:szCs w:val="21"/>
        </w:rPr>
      </w:pPr>
      <w:r>
        <w:rPr>
          <w:rFonts w:hint="eastAsia" w:ascii="宋体" w:hAnsi="宋体"/>
          <w:szCs w:val="21"/>
        </w:rPr>
        <w:t>有下列情形之一的，谈判保证金不予退还：</w:t>
      </w:r>
    </w:p>
    <w:p>
      <w:pPr>
        <w:numPr>
          <w:ilvl w:val="2"/>
          <w:numId w:val="41"/>
        </w:numPr>
        <w:autoSpaceDE w:val="0"/>
        <w:autoSpaceDN w:val="0"/>
        <w:adjustRightInd w:val="0"/>
        <w:snapToGrid w:val="0"/>
        <w:spacing w:line="360" w:lineRule="auto"/>
        <w:jc w:val="left"/>
        <w:rPr>
          <w:rFonts w:ascii="宋体" w:hAnsi="宋体" w:cs="宋体"/>
          <w:szCs w:val="21"/>
        </w:rPr>
      </w:pPr>
      <w:r>
        <w:rPr>
          <w:rFonts w:hint="eastAsia" w:ascii="宋体" w:hAnsi="宋体"/>
          <w:szCs w:val="21"/>
        </w:rPr>
        <w:t>供应商在提交响应文件截止时间后撤回响应文件的；</w:t>
      </w:r>
    </w:p>
    <w:p>
      <w:pPr>
        <w:numPr>
          <w:ilvl w:val="2"/>
          <w:numId w:val="41"/>
        </w:numPr>
        <w:autoSpaceDE w:val="0"/>
        <w:autoSpaceDN w:val="0"/>
        <w:adjustRightInd w:val="0"/>
        <w:snapToGrid w:val="0"/>
        <w:spacing w:line="360" w:lineRule="auto"/>
        <w:jc w:val="left"/>
        <w:rPr>
          <w:rFonts w:ascii="宋体" w:hAnsi="宋体" w:cs="宋体"/>
          <w:szCs w:val="21"/>
        </w:rPr>
      </w:pPr>
      <w:r>
        <w:rPr>
          <w:rFonts w:hint="eastAsia" w:ascii="宋体" w:hAnsi="宋体"/>
          <w:szCs w:val="21"/>
        </w:rPr>
        <w:t>供应商在响应文件中提供虚假材料的；</w:t>
      </w:r>
    </w:p>
    <w:p>
      <w:pPr>
        <w:numPr>
          <w:ilvl w:val="2"/>
          <w:numId w:val="41"/>
        </w:numPr>
        <w:autoSpaceDE w:val="0"/>
        <w:autoSpaceDN w:val="0"/>
        <w:adjustRightInd w:val="0"/>
        <w:snapToGrid w:val="0"/>
        <w:spacing w:line="360" w:lineRule="auto"/>
        <w:jc w:val="left"/>
        <w:rPr>
          <w:rFonts w:ascii="宋体" w:hAnsi="宋体" w:cs="宋体"/>
          <w:szCs w:val="21"/>
        </w:rPr>
      </w:pPr>
      <w:r>
        <w:rPr>
          <w:rFonts w:hint="eastAsia" w:ascii="宋体" w:hAnsi="宋体"/>
          <w:szCs w:val="21"/>
        </w:rPr>
        <w:t>除因不可抗力或谈判文件认可的情形以外，成交供应商不与采购人签订合同的；</w:t>
      </w:r>
    </w:p>
    <w:p>
      <w:pPr>
        <w:numPr>
          <w:ilvl w:val="2"/>
          <w:numId w:val="41"/>
        </w:numPr>
        <w:autoSpaceDE w:val="0"/>
        <w:autoSpaceDN w:val="0"/>
        <w:adjustRightInd w:val="0"/>
        <w:snapToGrid w:val="0"/>
        <w:spacing w:line="360" w:lineRule="auto"/>
        <w:jc w:val="left"/>
        <w:rPr>
          <w:rFonts w:ascii="宋体" w:hAnsi="宋体" w:cs="宋体"/>
          <w:szCs w:val="21"/>
        </w:rPr>
      </w:pPr>
      <w:r>
        <w:rPr>
          <w:rFonts w:hint="eastAsia" w:ascii="宋体" w:hAnsi="宋体"/>
          <w:szCs w:val="21"/>
        </w:rPr>
        <w:t>供应商与采购人、其他供应商或者采购代理机构恶意串通的；</w:t>
      </w:r>
    </w:p>
    <w:p>
      <w:pPr>
        <w:numPr>
          <w:ilvl w:val="2"/>
          <w:numId w:val="41"/>
        </w:numPr>
        <w:autoSpaceDE w:val="0"/>
        <w:autoSpaceDN w:val="0"/>
        <w:adjustRightInd w:val="0"/>
        <w:snapToGrid w:val="0"/>
        <w:spacing w:line="360" w:lineRule="auto"/>
        <w:jc w:val="left"/>
        <w:rPr>
          <w:rFonts w:ascii="宋体" w:hAnsi="宋体" w:cs="宋体"/>
          <w:szCs w:val="21"/>
        </w:rPr>
      </w:pPr>
      <w:r>
        <w:rPr>
          <w:rFonts w:hint="eastAsia" w:ascii="宋体" w:hAnsi="宋体" w:cs="宋体"/>
        </w:rPr>
        <w:t>依法被认定成交无效的</w:t>
      </w:r>
      <w:r>
        <w:rPr>
          <w:rFonts w:hint="eastAsia" w:ascii="宋体" w:hAnsi="宋体" w:cs="宋体"/>
          <w:szCs w:val="21"/>
        </w:rPr>
        <w:t>；</w:t>
      </w:r>
    </w:p>
    <w:p>
      <w:pPr>
        <w:numPr>
          <w:ilvl w:val="2"/>
          <w:numId w:val="41"/>
        </w:numPr>
        <w:autoSpaceDE w:val="0"/>
        <w:autoSpaceDN w:val="0"/>
        <w:adjustRightInd w:val="0"/>
        <w:snapToGrid w:val="0"/>
        <w:spacing w:line="360" w:lineRule="auto"/>
        <w:jc w:val="left"/>
        <w:rPr>
          <w:rFonts w:ascii="宋体" w:hAnsi="宋体" w:cs="宋体"/>
          <w:szCs w:val="21"/>
        </w:rPr>
      </w:pPr>
      <w:r>
        <w:rPr>
          <w:rFonts w:hint="eastAsia" w:ascii="宋体" w:hAnsi="宋体"/>
          <w:szCs w:val="21"/>
        </w:rPr>
        <w:t>谈判文件规定的其他情形</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谈判有效期</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szCs w:val="21"/>
        </w:rPr>
        <w:t>谈判应自</w:t>
      </w:r>
      <w:r>
        <w:rPr>
          <w:rFonts w:hint="eastAsia" w:ascii="宋体" w:hAnsi="宋体"/>
          <w:b/>
          <w:szCs w:val="21"/>
        </w:rPr>
        <w:t>谈判资料表</w:t>
      </w:r>
      <w:r>
        <w:rPr>
          <w:rFonts w:hint="eastAsia" w:ascii="宋体" w:hAnsi="宋体"/>
          <w:szCs w:val="21"/>
        </w:rPr>
        <w:t>中规定的响应文件递交截止时间起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谈判资料表</w:t>
      </w:r>
      <w:r>
        <w:rPr>
          <w:rFonts w:hint="eastAsia" w:ascii="宋体" w:hAnsi="宋体" w:cs="宋体"/>
          <w:szCs w:val="21"/>
          <w:lang w:eastAsia="zh-TW"/>
        </w:rPr>
        <w:t>中所述期限内保持有效。谈判有效期不足的谈判将被视为非实质性响应</w:t>
      </w:r>
      <w:r>
        <w:rPr>
          <w:rFonts w:hint="eastAsia" w:ascii="宋体" w:hAnsi="宋体"/>
          <w:szCs w:val="21"/>
        </w:rPr>
        <w:t>，</w:t>
      </w:r>
      <w:r>
        <w:rPr>
          <w:rFonts w:hint="eastAsia" w:ascii="宋体" w:hAnsi="宋体" w:cs="宋体"/>
          <w:szCs w:val="21"/>
        </w:rPr>
        <w:t>视为无效报价</w:t>
      </w:r>
      <w:r>
        <w:rPr>
          <w:rFonts w:hint="eastAsia" w:ascii="宋体" w:hAnsi="宋体" w:cs="宋体"/>
          <w:szCs w:val="21"/>
          <w:lang w:eastAsia="zh-TW"/>
        </w:rPr>
        <w:t>。</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szCs w:val="21"/>
        </w:rPr>
        <w:t>在原谈判有效期截止之前</w:t>
      </w:r>
      <w:r>
        <w:rPr>
          <w:rFonts w:hint="eastAsia" w:ascii="宋体" w:hAnsi="宋体" w:cs="宋体"/>
          <w:szCs w:val="21"/>
        </w:rPr>
        <w:t>，</w:t>
      </w:r>
      <w:r>
        <w:rPr>
          <w:rFonts w:hint="eastAsia" w:ascii="宋体" w:hAnsi="宋体" w:cs="宋体"/>
          <w:szCs w:val="21"/>
          <w:lang w:eastAsia="zh-TW"/>
        </w:rPr>
        <w:t>采购代理机构可要求响应供应商延长谈判有效期。这种要求与答复均应以书面形式提交。响应供应商可拒绝采购代理机构的这种要求</w:t>
      </w:r>
      <w:r>
        <w:rPr>
          <w:rFonts w:hint="eastAsia" w:ascii="宋体" w:hAnsi="宋体" w:cs="宋体"/>
          <w:szCs w:val="21"/>
        </w:rPr>
        <w:t>，</w:t>
      </w:r>
      <w:r>
        <w:rPr>
          <w:rFonts w:hint="eastAsia" w:ascii="宋体" w:hAnsi="宋体" w:cs="宋体"/>
          <w:szCs w:val="21"/>
          <w:lang w:eastAsia="zh-TW"/>
        </w:rPr>
        <w:t>其谈判保证金将</w:t>
      </w:r>
      <w:r>
        <w:rPr>
          <w:rFonts w:hint="eastAsia" w:ascii="宋体" w:hAnsi="宋体" w:cs="宋体"/>
          <w:szCs w:val="21"/>
        </w:rPr>
        <w:t>予以退还，</w:t>
      </w:r>
      <w:r>
        <w:rPr>
          <w:rFonts w:hint="eastAsia" w:ascii="宋体" w:hAnsi="宋体" w:cs="宋体"/>
          <w:szCs w:val="21"/>
          <w:lang w:eastAsia="zh-TW"/>
        </w:rPr>
        <w:t>但其</w:t>
      </w:r>
      <w:r>
        <w:rPr>
          <w:rFonts w:hint="eastAsia" w:ascii="宋体" w:hAnsi="宋体" w:cs="宋体"/>
          <w:szCs w:val="21"/>
        </w:rPr>
        <w:t>投标</w:t>
      </w:r>
      <w:r>
        <w:rPr>
          <w:rFonts w:hint="eastAsia" w:ascii="宋体" w:hAnsi="宋体" w:cs="宋体"/>
          <w:szCs w:val="21"/>
          <w:lang w:eastAsia="zh-TW"/>
        </w:rPr>
        <w:t>在原谈判有效期期满后将不再有效。同意延长谈判有效期的响应供应商将不会被要求和允许修正其</w:t>
      </w:r>
      <w:r>
        <w:rPr>
          <w:rFonts w:hint="eastAsia" w:ascii="宋体" w:hAnsi="宋体" w:cs="宋体"/>
          <w:szCs w:val="21"/>
        </w:rPr>
        <w:t>投标，</w:t>
      </w:r>
      <w:r>
        <w:rPr>
          <w:rFonts w:hint="eastAsia" w:ascii="宋体" w:hAnsi="宋体" w:cs="宋体"/>
          <w:szCs w:val="21"/>
          <w:lang w:eastAsia="zh-TW"/>
        </w:rPr>
        <w:t>而只会被要求相应地延长其谈判保证金的有效期。在这种情况下</w:t>
      </w:r>
      <w:r>
        <w:rPr>
          <w:rFonts w:hint="eastAsia" w:ascii="宋体" w:hAnsi="宋体" w:cs="宋体"/>
          <w:szCs w:val="21"/>
        </w:rPr>
        <w:t>，</w:t>
      </w:r>
      <w:r>
        <w:rPr>
          <w:rFonts w:hint="eastAsia" w:ascii="宋体" w:hAnsi="宋体" w:cs="宋体"/>
          <w:szCs w:val="21"/>
          <w:lang w:eastAsia="zh-TW"/>
        </w:rPr>
        <w:t>本须知有关谈判保证金的退还和</w:t>
      </w:r>
      <w:r>
        <w:rPr>
          <w:rFonts w:hint="eastAsia" w:ascii="宋体" w:hAnsi="宋体" w:cs="宋体"/>
          <w:szCs w:val="21"/>
        </w:rPr>
        <w:t>不予退还</w:t>
      </w:r>
      <w:r>
        <w:rPr>
          <w:rFonts w:hint="eastAsia" w:ascii="宋体" w:hAnsi="宋体" w:cs="宋体"/>
          <w:szCs w:val="21"/>
          <w:lang w:eastAsia="zh-TW"/>
        </w:rPr>
        <w:t>的规定将在延长了的有效期内继续有效。</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响应文件的式样和签署</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cs="宋体"/>
          <w:szCs w:val="21"/>
          <w:lang w:eastAsia="zh-TW"/>
        </w:rPr>
        <w:t>响应供应商应准备</w:t>
      </w:r>
      <w:r>
        <w:rPr>
          <w:rFonts w:hint="eastAsia" w:ascii="宋体" w:hAnsi="宋体" w:cs="宋体"/>
          <w:szCs w:val="21"/>
        </w:rPr>
        <w:t>纸质</w:t>
      </w:r>
      <w:r>
        <w:rPr>
          <w:rFonts w:hint="eastAsia" w:ascii="宋体" w:hAnsi="宋体" w:cs="宋体"/>
          <w:szCs w:val="21"/>
          <w:lang w:eastAsia="zh-TW"/>
        </w:rPr>
        <w:t>一份响应文件正本</w:t>
      </w:r>
      <w:r>
        <w:rPr>
          <w:rFonts w:hint="eastAsia" w:ascii="宋体" w:hAnsi="宋体" w:cs="宋体"/>
          <w:szCs w:val="21"/>
        </w:rPr>
        <w:t>、电子文件</w:t>
      </w:r>
      <w:r>
        <w:rPr>
          <w:rFonts w:hint="eastAsia" w:ascii="宋体" w:hAnsi="宋体" w:cs="宋体"/>
          <w:szCs w:val="21"/>
          <w:lang w:eastAsia="zh-TW"/>
        </w:rPr>
        <w:t>和</w:t>
      </w:r>
      <w:r>
        <w:rPr>
          <w:rFonts w:hint="eastAsia" w:ascii="宋体" w:hAnsi="宋体" w:cs="宋体"/>
          <w:b/>
          <w:szCs w:val="21"/>
          <w:lang w:eastAsia="zh-TW"/>
        </w:rPr>
        <w:t>谈判资料表</w:t>
      </w:r>
      <w:r>
        <w:rPr>
          <w:rFonts w:hint="eastAsia" w:ascii="宋体" w:hAnsi="宋体" w:cs="宋体"/>
          <w:szCs w:val="21"/>
          <w:lang w:eastAsia="zh-TW"/>
        </w:rPr>
        <w:t>中规定数目的</w:t>
      </w:r>
      <w:r>
        <w:rPr>
          <w:rFonts w:hint="eastAsia" w:ascii="宋体" w:hAnsi="宋体" w:cs="宋体"/>
          <w:szCs w:val="21"/>
        </w:rPr>
        <w:t>纸质</w:t>
      </w:r>
      <w:r>
        <w:rPr>
          <w:rFonts w:hint="eastAsia" w:ascii="宋体" w:hAnsi="宋体" w:cs="宋体"/>
          <w:szCs w:val="21"/>
          <w:lang w:eastAsia="zh-TW"/>
        </w:rPr>
        <w:t>副本</w:t>
      </w:r>
      <w:r>
        <w:rPr>
          <w:rFonts w:hint="eastAsia" w:ascii="宋体" w:hAnsi="宋体" w:cs="宋体"/>
          <w:szCs w:val="21"/>
        </w:rPr>
        <w:t>。</w:t>
      </w:r>
      <w:r>
        <w:rPr>
          <w:rFonts w:hint="eastAsia" w:ascii="宋体" w:hAnsi="宋体" w:cs="宋体"/>
          <w:szCs w:val="21"/>
          <w:lang w:eastAsia="zh-TW"/>
        </w:rPr>
        <w:t>响应文件的副本可采用正本的复印件。每套响应文件须清楚地标明“正本”或</w:t>
      </w:r>
      <w:r>
        <w:rPr>
          <w:rFonts w:hint="eastAsia" w:ascii="宋体" w:hAnsi="宋体" w:cs="宋体"/>
          <w:szCs w:val="21"/>
        </w:rPr>
        <w:t>“副</w:t>
      </w:r>
      <w:r>
        <w:rPr>
          <w:rFonts w:hint="eastAsia" w:ascii="宋体" w:hAnsi="宋体" w:cs="宋体"/>
          <w:szCs w:val="21"/>
          <w:lang w:eastAsia="zh-TW"/>
        </w:rPr>
        <w:t>本</w:t>
      </w:r>
      <w:r>
        <w:rPr>
          <w:rFonts w:hint="eastAsia" w:ascii="宋体" w:hAnsi="宋体" w:cs="宋体"/>
          <w:szCs w:val="21"/>
        </w:rPr>
        <w:t>”</w:t>
      </w:r>
      <w:r>
        <w:rPr>
          <w:rFonts w:hint="eastAsia" w:ascii="宋体" w:hAnsi="宋体" w:cs="宋体"/>
          <w:szCs w:val="21"/>
          <w:lang w:eastAsia="zh-TW"/>
        </w:rPr>
        <w:t>。若副本与正本不符</w:t>
      </w:r>
      <w:r>
        <w:rPr>
          <w:rFonts w:hint="eastAsia" w:ascii="宋体" w:hAnsi="宋体" w:cs="宋体"/>
          <w:szCs w:val="21"/>
        </w:rPr>
        <w:t>，</w:t>
      </w:r>
      <w:r>
        <w:rPr>
          <w:rFonts w:hint="eastAsia" w:ascii="宋体" w:hAnsi="宋体" w:cs="宋体"/>
          <w:szCs w:val="21"/>
          <w:lang w:eastAsia="zh-TW"/>
        </w:rPr>
        <w:t>以正本为准。</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cs="宋体"/>
          <w:szCs w:val="21"/>
          <w:lang w:eastAsia="zh-TW"/>
        </w:rPr>
        <w:t>电子文件：是指将按谈判文件要求签署、盖章后的正本</w:t>
      </w:r>
      <w:r>
        <w:rPr>
          <w:rFonts w:hint="eastAsia" w:ascii="宋体" w:hAnsi="宋体" w:cs="宋体"/>
          <w:szCs w:val="21"/>
        </w:rPr>
        <w:t>响应</w:t>
      </w:r>
      <w:r>
        <w:rPr>
          <w:rFonts w:hint="eastAsia" w:ascii="宋体" w:hAnsi="宋体" w:cs="宋体"/>
          <w:szCs w:val="21"/>
          <w:lang w:eastAsia="zh-TW"/>
        </w:rPr>
        <w:t>文件扫描成PDF格式后拷贝至无病毒无密码的U盘或光盘。</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响应文件</w:t>
      </w:r>
      <w:r>
        <w:rPr>
          <w:rFonts w:hint="eastAsia" w:ascii="宋体" w:hAnsi="宋体" w:cs="宋体"/>
          <w:szCs w:val="21"/>
        </w:rPr>
        <w:t>的签署</w:t>
      </w:r>
    </w:p>
    <w:p>
      <w:pPr>
        <w:numPr>
          <w:ilvl w:val="2"/>
          <w:numId w:val="41"/>
        </w:numPr>
        <w:autoSpaceDE w:val="0"/>
        <w:autoSpaceDN w:val="0"/>
        <w:adjustRightInd w:val="0"/>
        <w:snapToGrid w:val="0"/>
        <w:spacing w:line="360" w:lineRule="auto"/>
        <w:jc w:val="left"/>
      </w:pPr>
      <w:r>
        <w:rPr>
          <w:rFonts w:hint="eastAsia" w:ascii="宋体" w:hAnsi="宋体" w:cs="宋体"/>
          <w:szCs w:val="21"/>
          <w:lang w:eastAsia="zh-TW"/>
        </w:rPr>
        <w:t>响应文件的正本需打印或用不褪色墨水书写，谈判文件</w:t>
      </w:r>
      <w:r>
        <w:rPr>
          <w:rFonts w:hint="eastAsia" w:ascii="宋体" w:hAnsi="宋体" w:cs="宋体"/>
          <w:szCs w:val="21"/>
        </w:rPr>
        <w:t>要求签名的</w:t>
      </w:r>
      <w:r>
        <w:rPr>
          <w:rFonts w:hint="eastAsia" w:ascii="宋体" w:hAnsi="宋体" w:cs="宋体"/>
          <w:szCs w:val="21"/>
          <w:lang w:eastAsia="zh-TW"/>
        </w:rPr>
        <w:t>由</w:t>
      </w:r>
      <w:r>
        <w:rPr>
          <w:rFonts w:hint="eastAsia" w:ascii="宋体" w:hAnsi="宋体" w:cs="宋体"/>
          <w:szCs w:val="21"/>
        </w:rPr>
        <w:t>法定</w:t>
      </w:r>
      <w:r>
        <w:rPr>
          <w:rFonts w:hint="eastAsia" w:ascii="宋体" w:hAnsi="宋体" w:cs="宋体"/>
          <w:szCs w:val="21"/>
          <w:lang w:eastAsia="zh-TW"/>
        </w:rPr>
        <w:t>代表人或经其正式授权的代表签字</w:t>
      </w:r>
      <w:r>
        <w:rPr>
          <w:rFonts w:hint="eastAsia" w:ascii="宋体" w:hAnsi="宋体" w:cs="宋体"/>
          <w:szCs w:val="21"/>
        </w:rPr>
        <w:t>或盖章。</w:t>
      </w:r>
      <w:r>
        <w:rPr>
          <w:rFonts w:hint="eastAsia" w:ascii="宋体" w:hAnsi="宋体" w:cs="宋体"/>
          <w:szCs w:val="21"/>
          <w:lang w:eastAsia="zh-TW"/>
        </w:rPr>
        <w:t>以及</w:t>
      </w:r>
      <w:r>
        <w:rPr>
          <w:rFonts w:hint="eastAsia" w:ascii="宋体" w:hAnsi="宋体" w:cs="宋体"/>
          <w:szCs w:val="21"/>
        </w:rPr>
        <w:t>谈判</w:t>
      </w:r>
      <w:r>
        <w:rPr>
          <w:rFonts w:hint="eastAsia" w:ascii="宋体" w:hAnsi="宋体" w:cs="宋体"/>
          <w:szCs w:val="21"/>
          <w:lang w:eastAsia="zh-TW"/>
        </w:rPr>
        <w:t>文件中明示盖公章</w:t>
      </w:r>
      <w:r>
        <w:rPr>
          <w:rFonts w:hint="eastAsia" w:ascii="宋体" w:hAnsi="宋体" w:cs="宋体"/>
          <w:szCs w:val="21"/>
        </w:rPr>
        <w:t>处</w:t>
      </w:r>
      <w:r>
        <w:rPr>
          <w:rFonts w:hint="eastAsia" w:ascii="宋体" w:hAnsi="宋体" w:cs="宋体"/>
          <w:szCs w:val="21"/>
          <w:lang w:eastAsia="zh-TW"/>
        </w:rPr>
        <w:t>及</w:t>
      </w:r>
      <w:r>
        <w:rPr>
          <w:rFonts w:hint="eastAsia" w:ascii="宋体" w:hAnsi="宋体" w:cs="宋体"/>
          <w:szCs w:val="21"/>
        </w:rPr>
        <w:t>要求</w:t>
      </w:r>
      <w:r>
        <w:rPr>
          <w:rFonts w:hint="eastAsia" w:ascii="宋体" w:hAnsi="宋体" w:cs="宋体"/>
          <w:szCs w:val="21"/>
          <w:lang w:eastAsia="zh-TW"/>
        </w:rPr>
        <w:t>提供的证明材料应盖</w:t>
      </w:r>
      <w:r>
        <w:rPr>
          <w:rFonts w:hint="eastAsia" w:ascii="宋体" w:hAnsi="宋体" w:cs="宋体"/>
          <w:szCs w:val="21"/>
        </w:rPr>
        <w:t>响应供应商</w:t>
      </w:r>
      <w:r>
        <w:rPr>
          <w:rFonts w:hint="eastAsia" w:ascii="宋体" w:hAnsi="宋体" w:cs="宋体"/>
          <w:szCs w:val="21"/>
          <w:lang w:eastAsia="zh-TW"/>
        </w:rPr>
        <w:t>公章</w:t>
      </w:r>
      <w:r>
        <w:rPr>
          <w:rFonts w:hint="eastAsia" w:ascii="宋体" w:hAnsi="宋体" w:cs="宋体"/>
          <w:szCs w:val="21"/>
        </w:rPr>
        <w:t>，副本可以复印，与正本具有同等法律效力</w:t>
      </w:r>
      <w:r>
        <w:rPr>
          <w:rFonts w:hint="eastAsia" w:ascii="宋体" w:hAnsi="宋体" w:cs="宋体"/>
          <w:szCs w:val="21"/>
          <w:lang w:eastAsia="zh-TW"/>
        </w:rPr>
        <w:t>。授权代表须将以书面形式出具的《法定代表人授权</w:t>
      </w:r>
      <w:r>
        <w:rPr>
          <w:rFonts w:hint="eastAsia" w:ascii="宋体" w:hAnsi="宋体" w:cs="宋体"/>
          <w:szCs w:val="21"/>
        </w:rPr>
        <w:t>委托</w:t>
      </w:r>
      <w:r>
        <w:rPr>
          <w:rFonts w:hint="eastAsia" w:ascii="宋体" w:hAnsi="宋体" w:cs="宋体"/>
          <w:szCs w:val="21"/>
          <w:lang w:eastAsia="zh-TW"/>
        </w:rPr>
        <w:t>书》附在响应文件中。</w:t>
      </w:r>
    </w:p>
    <w:p>
      <w:pPr>
        <w:numPr>
          <w:ilvl w:val="2"/>
          <w:numId w:val="41"/>
        </w:numPr>
        <w:autoSpaceDE w:val="0"/>
        <w:autoSpaceDN w:val="0"/>
        <w:adjustRightInd w:val="0"/>
        <w:snapToGrid w:val="0"/>
        <w:spacing w:line="360" w:lineRule="auto"/>
        <w:jc w:val="left"/>
      </w:pPr>
      <w:r>
        <w:rPr>
          <w:rFonts w:hint="eastAsia" w:ascii="宋体" w:hAnsi="宋体" w:cs="宋体"/>
          <w:szCs w:val="21"/>
          <w:lang w:eastAsia="zh-TW"/>
        </w:rPr>
        <w:t>响应文件中的任何重要的插字、涂改和增删，必须由法定代表人或经其正式授权的代表在旁边签章或签字才有效。</w:t>
      </w:r>
    </w:p>
    <w:p>
      <w:pPr>
        <w:snapToGrid w:val="0"/>
        <w:spacing w:line="360" w:lineRule="auto"/>
        <w:jc w:val="center"/>
        <w:rPr>
          <w:rFonts w:ascii="宋体" w:hAnsi="宋体"/>
          <w:b/>
          <w:sz w:val="28"/>
          <w:szCs w:val="28"/>
          <w:lang w:eastAsia="zh-TW"/>
        </w:rPr>
      </w:pPr>
      <w:bookmarkStart w:id="57" w:name="_Toc438226479"/>
      <w:r>
        <w:rPr>
          <w:rFonts w:hint="eastAsia" w:ascii="宋体" w:hAnsi="宋体"/>
          <w:b/>
          <w:sz w:val="28"/>
          <w:szCs w:val="28"/>
          <w:lang w:eastAsia="zh-TW"/>
        </w:rPr>
        <w:t>四、响应文件的递交</w:t>
      </w:r>
      <w:bookmarkEnd w:id="57"/>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响应文件的密封和标记</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响应供应商</w:t>
      </w:r>
      <w:r>
        <w:rPr>
          <w:rFonts w:hint="eastAsia" w:ascii="宋体" w:hAnsi="宋体" w:cs="黑体"/>
          <w:bCs/>
          <w:szCs w:val="21"/>
        </w:rPr>
        <w:t>应单独提交一个密封信封，并在信封上标明“报价信封”的字样，内容包括报价表、谈判保证金缴付凭证、退谈判保证金说明函和电子文件，若本项目（或包组）接受联合体投标，则联合体投标，应将各方共同签署的《联合投标协议》一并提交。“报价信封”是响应文件的组成部分。</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cs="宋体"/>
          <w:szCs w:val="21"/>
          <w:lang w:eastAsia="zh-TW"/>
        </w:rPr>
        <w:t>响应文件</w:t>
      </w:r>
      <w:r>
        <w:rPr>
          <w:rFonts w:hint="eastAsia" w:ascii="宋体" w:hAnsi="宋体" w:cs="宋体"/>
          <w:szCs w:val="21"/>
        </w:rPr>
        <w:t>密封</w:t>
      </w:r>
      <w:r>
        <w:rPr>
          <w:rFonts w:hint="eastAsia" w:ascii="宋体" w:hAnsi="宋体"/>
          <w:szCs w:val="21"/>
        </w:rPr>
        <w:t>：</w:t>
      </w:r>
    </w:p>
    <w:p>
      <w:pPr>
        <w:numPr>
          <w:ilvl w:val="2"/>
          <w:numId w:val="41"/>
        </w:numPr>
        <w:autoSpaceDE w:val="0"/>
        <w:autoSpaceDN w:val="0"/>
        <w:adjustRightInd w:val="0"/>
        <w:snapToGrid w:val="0"/>
        <w:spacing w:line="360" w:lineRule="auto"/>
        <w:rPr>
          <w:rFonts w:ascii="宋体" w:hAnsi="宋体"/>
          <w:szCs w:val="21"/>
        </w:rPr>
      </w:pPr>
      <w:r>
        <w:rPr>
          <w:rFonts w:hint="eastAsia" w:ascii="宋体" w:hAnsi="宋体" w:cs="宋体"/>
          <w:szCs w:val="21"/>
        </w:rPr>
        <w:t>响应文件正本与副本可以单独密封包装，也可以所有响应文件密封包装在一个密封袋内。</w:t>
      </w:r>
    </w:p>
    <w:p>
      <w:pPr>
        <w:numPr>
          <w:ilvl w:val="2"/>
          <w:numId w:val="41"/>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rPr>
        <w:t>不足以造成响应文件可从外包装内散出而导致响应文件泄密的，不认定为响应文件未密封。</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cs="宋体"/>
          <w:szCs w:val="21"/>
          <w:lang w:eastAsia="zh-TW"/>
        </w:rPr>
        <w:t>响应文件</w:t>
      </w:r>
      <w:r>
        <w:rPr>
          <w:rFonts w:hint="eastAsia" w:ascii="宋体" w:hAnsi="宋体" w:cs="宋体"/>
          <w:szCs w:val="21"/>
        </w:rPr>
        <w:t>标记</w:t>
      </w:r>
    </w:p>
    <w:p>
      <w:pPr>
        <w:numPr>
          <w:ilvl w:val="2"/>
          <w:numId w:val="41"/>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清楚写明响应供应商名称和地址。</w:t>
      </w:r>
    </w:p>
    <w:p>
      <w:pPr>
        <w:numPr>
          <w:ilvl w:val="2"/>
          <w:numId w:val="41"/>
        </w:numPr>
        <w:tabs>
          <w:tab w:val="left" w:pos="851"/>
        </w:tabs>
        <w:autoSpaceDE w:val="0"/>
        <w:autoSpaceDN w:val="0"/>
        <w:adjustRightInd w:val="0"/>
        <w:snapToGrid w:val="0"/>
        <w:spacing w:line="360" w:lineRule="auto"/>
        <w:jc w:val="left"/>
        <w:rPr>
          <w:rFonts w:ascii="宋体" w:hAnsi="宋体" w:cs="宋体"/>
          <w:szCs w:val="21"/>
        </w:rPr>
      </w:pPr>
      <w:r>
        <w:rPr>
          <w:rFonts w:hint="eastAsia" w:ascii="宋体" w:hAnsi="宋体"/>
          <w:szCs w:val="21"/>
        </w:rPr>
        <w:t>注明谈判邀请中指明的项目名称</w:t>
      </w:r>
      <w:r>
        <w:rPr>
          <w:rFonts w:hint="eastAsia" w:ascii="宋体" w:hAnsi="宋体" w:cs="宋体"/>
          <w:szCs w:val="21"/>
          <w:lang w:eastAsia="zh-TW"/>
        </w:rPr>
        <w:t>、</w:t>
      </w:r>
      <w:r>
        <w:rPr>
          <w:rFonts w:hint="eastAsia" w:ascii="宋体" w:hAnsi="宋体" w:cs="宋体"/>
          <w:szCs w:val="21"/>
        </w:rPr>
        <w:t>项目</w:t>
      </w:r>
      <w:r>
        <w:rPr>
          <w:rFonts w:hint="eastAsia" w:ascii="宋体" w:hAnsi="宋体" w:cs="宋体"/>
          <w:szCs w:val="21"/>
          <w:lang w:eastAsia="zh-TW"/>
        </w:rPr>
        <w:t>编号</w:t>
      </w:r>
      <w:r>
        <w:rPr>
          <w:rFonts w:hint="eastAsia" w:ascii="宋体" w:hAnsi="宋体" w:cs="宋体"/>
          <w:szCs w:val="21"/>
        </w:rPr>
        <w:t>、包组号（如有）的</w:t>
      </w:r>
      <w:r>
        <w:rPr>
          <w:rFonts w:hint="eastAsia" w:ascii="宋体" w:hAnsi="宋体" w:cs="宋体"/>
          <w:szCs w:val="21"/>
          <w:lang w:eastAsia="zh-TW"/>
        </w:rPr>
        <w:t>字样。</w:t>
      </w:r>
    </w:p>
    <w:p>
      <w:pPr>
        <w:numPr>
          <w:ilvl w:val="2"/>
          <w:numId w:val="41"/>
        </w:numPr>
        <w:tabs>
          <w:tab w:val="left" w:pos="851"/>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lang w:eastAsia="zh-TW"/>
        </w:rPr>
        <w:t>如果未按本须知</w:t>
      </w:r>
      <w:r>
        <w:rPr>
          <w:rFonts w:hint="eastAsia" w:ascii="宋体" w:hAnsi="宋体" w:cs="宋体"/>
          <w:szCs w:val="21"/>
        </w:rPr>
        <w:t>上款</w:t>
      </w:r>
      <w:r>
        <w:rPr>
          <w:rFonts w:hint="eastAsia" w:ascii="宋体" w:hAnsi="宋体" w:cs="宋体"/>
          <w:szCs w:val="21"/>
          <w:lang w:eastAsia="zh-TW"/>
        </w:rPr>
        <w:t>要求加写标记</w:t>
      </w:r>
      <w:r>
        <w:rPr>
          <w:rFonts w:hint="eastAsia" w:ascii="宋体" w:hAnsi="宋体" w:cs="宋体"/>
          <w:szCs w:val="21"/>
        </w:rPr>
        <w:t>，</w:t>
      </w:r>
      <w:r>
        <w:rPr>
          <w:rFonts w:hint="eastAsia" w:ascii="宋体" w:hAnsi="宋体" w:cs="宋体"/>
          <w:szCs w:val="21"/>
          <w:lang w:eastAsia="zh-TW"/>
        </w:rPr>
        <w:t>采购代理机构对误投或提前启封概不负责</w:t>
      </w:r>
      <w:r>
        <w:rPr>
          <w:rFonts w:hint="eastAsia" w:ascii="宋体" w:hAnsi="宋体" w:cs="宋体"/>
          <w:szCs w:val="21"/>
        </w:rPr>
        <w:t>。</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响应文件递交截止期</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cs="宋体"/>
          <w:szCs w:val="21"/>
          <w:lang w:eastAsia="zh-TW"/>
        </w:rPr>
        <w:t>响应供应商应在</w:t>
      </w:r>
      <w:r>
        <w:rPr>
          <w:rFonts w:hint="eastAsia" w:ascii="宋体" w:hAnsi="宋体" w:cs="宋体"/>
          <w:b/>
          <w:szCs w:val="21"/>
        </w:rPr>
        <w:t>谈判资料表</w:t>
      </w:r>
      <w:r>
        <w:rPr>
          <w:rFonts w:hint="eastAsia" w:ascii="宋体" w:hAnsi="宋体" w:cs="宋体"/>
          <w:szCs w:val="21"/>
          <w:lang w:eastAsia="zh-TW"/>
        </w:rPr>
        <w:t>中规定的截止日期和时间</w:t>
      </w:r>
      <w:r>
        <w:rPr>
          <w:rFonts w:hint="eastAsia" w:ascii="宋体" w:hAnsi="宋体" w:cs="宋体"/>
          <w:szCs w:val="21"/>
        </w:rPr>
        <w:t>前，</w:t>
      </w:r>
      <w:r>
        <w:rPr>
          <w:rFonts w:hint="eastAsia" w:ascii="宋体" w:hAnsi="宋体" w:cs="宋体"/>
          <w:szCs w:val="21"/>
          <w:lang w:eastAsia="zh-TW"/>
        </w:rPr>
        <w:t>将响应文件</w:t>
      </w:r>
      <w:r>
        <w:rPr>
          <w:rFonts w:hint="eastAsia" w:ascii="宋体" w:hAnsi="宋体" w:cs="宋体"/>
          <w:szCs w:val="21"/>
        </w:rPr>
        <w:t>密封</w:t>
      </w:r>
      <w:r>
        <w:rPr>
          <w:rFonts w:hint="eastAsia" w:ascii="宋体" w:hAnsi="宋体" w:cs="宋体"/>
          <w:szCs w:val="21"/>
          <w:lang w:eastAsia="zh-TW"/>
        </w:rPr>
        <w:t>递交至</w:t>
      </w:r>
      <w:r>
        <w:rPr>
          <w:rFonts w:hint="eastAsia" w:ascii="宋体" w:hAnsi="宋体" w:cs="宋体"/>
          <w:b/>
          <w:szCs w:val="21"/>
          <w:lang w:eastAsia="zh-TW"/>
        </w:rPr>
        <w:t>谈判资料表</w:t>
      </w:r>
      <w:r>
        <w:rPr>
          <w:rFonts w:hint="eastAsia" w:ascii="宋体" w:hAnsi="宋体" w:cs="宋体"/>
          <w:szCs w:val="21"/>
          <w:lang w:eastAsia="zh-TW"/>
        </w:rPr>
        <w:t>中指明的</w:t>
      </w:r>
      <w:r>
        <w:rPr>
          <w:rFonts w:hint="eastAsia" w:ascii="宋体" w:hAnsi="宋体" w:cs="宋体"/>
          <w:szCs w:val="21"/>
        </w:rPr>
        <w:t>地点</w:t>
      </w:r>
      <w:r>
        <w:rPr>
          <w:rFonts w:hint="eastAsia" w:ascii="宋体" w:hAnsi="宋体" w:cs="宋体"/>
          <w:szCs w:val="21"/>
          <w:lang w:eastAsia="zh-TW"/>
        </w:rPr>
        <w:t>。</w:t>
      </w:r>
      <w:r>
        <w:rPr>
          <w:rFonts w:hint="eastAsia" w:ascii="宋体" w:hAnsi="宋体" w:cs="宋体"/>
          <w:szCs w:val="21"/>
        </w:rPr>
        <w:t>在截止时间后送达的响应文件为无效文件，采购人或者谈判小组应当拒绝。</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cs="宋体"/>
          <w:szCs w:val="21"/>
          <w:lang w:eastAsia="zh-TW"/>
        </w:rPr>
        <w:t>为使响应供应商准备</w:t>
      </w:r>
      <w:r>
        <w:rPr>
          <w:rFonts w:hint="eastAsia" w:ascii="宋体" w:hAnsi="宋体" w:cs="宋体"/>
          <w:szCs w:val="21"/>
        </w:rPr>
        <w:t>谈判</w:t>
      </w:r>
      <w:r>
        <w:rPr>
          <w:rFonts w:hint="eastAsia" w:ascii="宋体" w:hAnsi="宋体" w:cs="宋体"/>
          <w:szCs w:val="21"/>
          <w:lang w:eastAsia="zh-TW"/>
        </w:rPr>
        <w:t>时有充分时间对</w:t>
      </w:r>
      <w:r>
        <w:rPr>
          <w:rFonts w:hint="eastAsia" w:ascii="宋体" w:hAnsi="宋体" w:cs="宋体"/>
          <w:szCs w:val="21"/>
        </w:rPr>
        <w:t>谈判</w:t>
      </w:r>
      <w:r>
        <w:rPr>
          <w:rFonts w:hint="eastAsia" w:ascii="宋体" w:hAnsi="宋体" w:cs="宋体"/>
          <w:szCs w:val="21"/>
          <w:lang w:eastAsia="zh-TW"/>
        </w:rPr>
        <w:t>文件的修改部分进行研究，采购人可适当推迟响应文件</w:t>
      </w:r>
      <w:r>
        <w:rPr>
          <w:rFonts w:hint="eastAsia" w:ascii="宋体" w:hAnsi="宋体" w:cs="宋体"/>
          <w:szCs w:val="21"/>
        </w:rPr>
        <w:t>递交</w:t>
      </w:r>
      <w:r>
        <w:rPr>
          <w:rFonts w:hint="eastAsia" w:ascii="宋体" w:hAnsi="宋体" w:cs="宋体"/>
          <w:szCs w:val="21"/>
          <w:lang w:eastAsia="zh-TW"/>
        </w:rPr>
        <w:t>截止</w:t>
      </w:r>
      <w:r>
        <w:rPr>
          <w:rFonts w:hint="eastAsia" w:ascii="宋体" w:hAnsi="宋体" w:cs="宋体"/>
          <w:szCs w:val="21"/>
        </w:rPr>
        <w:t>时间</w:t>
      </w:r>
      <w:r>
        <w:rPr>
          <w:rFonts w:hint="eastAsia" w:ascii="宋体" w:hAnsi="宋体" w:cs="宋体"/>
          <w:szCs w:val="21"/>
          <w:lang w:eastAsia="zh-TW"/>
        </w:rPr>
        <w:t>，但应发布公告并书面通知所有购买</w:t>
      </w:r>
      <w:r>
        <w:rPr>
          <w:rFonts w:hint="eastAsia" w:ascii="宋体" w:hAnsi="宋体" w:cs="宋体"/>
          <w:szCs w:val="21"/>
        </w:rPr>
        <w:t>谈判</w:t>
      </w:r>
      <w:r>
        <w:rPr>
          <w:rFonts w:hint="eastAsia" w:ascii="宋体" w:hAnsi="宋体" w:cs="宋体"/>
          <w:szCs w:val="21"/>
          <w:lang w:eastAsia="zh-TW"/>
        </w:rPr>
        <w:t>文件的潜在响应供应商。在此情况下</w:t>
      </w:r>
      <w:r>
        <w:rPr>
          <w:rFonts w:hint="eastAsia" w:ascii="宋体" w:hAnsi="宋体" w:cs="宋体"/>
          <w:szCs w:val="21"/>
        </w:rPr>
        <w:t>，</w:t>
      </w:r>
      <w:r>
        <w:rPr>
          <w:rFonts w:hint="eastAsia" w:ascii="宋体" w:hAnsi="宋体" w:cs="宋体"/>
          <w:szCs w:val="21"/>
          <w:lang w:eastAsia="zh-TW"/>
        </w:rPr>
        <w:t>采购人和响应供应商受</w:t>
      </w:r>
      <w:r>
        <w:rPr>
          <w:rFonts w:hint="eastAsia" w:ascii="宋体" w:hAnsi="宋体" w:cs="宋体"/>
          <w:szCs w:val="21"/>
        </w:rPr>
        <w:t>响应文件递交截止期制约</w:t>
      </w:r>
      <w:r>
        <w:rPr>
          <w:rFonts w:hint="eastAsia" w:ascii="宋体" w:hAnsi="宋体" w:cs="宋体"/>
          <w:szCs w:val="21"/>
          <w:lang w:eastAsia="zh-TW"/>
        </w:rPr>
        <w:t>的所有权利和义务均应延长至新的截止期。</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响应文件的修改和撤回、撤销</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cs="宋体"/>
          <w:szCs w:val="21"/>
          <w:lang w:eastAsia="zh-TW"/>
        </w:rPr>
        <w:t>响应供应商在响应文件</w:t>
      </w:r>
      <w:r>
        <w:rPr>
          <w:rFonts w:hint="eastAsia" w:ascii="宋体" w:hAnsi="宋体" w:cs="宋体"/>
          <w:szCs w:val="21"/>
        </w:rPr>
        <w:t>递交</w:t>
      </w:r>
      <w:r>
        <w:rPr>
          <w:rFonts w:hint="eastAsia" w:ascii="宋体" w:hAnsi="宋体" w:cs="宋体"/>
          <w:szCs w:val="21"/>
          <w:lang w:eastAsia="zh-TW"/>
        </w:rPr>
        <w:t>截止</w:t>
      </w:r>
      <w:r>
        <w:rPr>
          <w:rFonts w:hint="eastAsia" w:ascii="宋体" w:hAnsi="宋体" w:cs="宋体"/>
          <w:szCs w:val="21"/>
        </w:rPr>
        <w:t>时间</w:t>
      </w:r>
      <w:r>
        <w:rPr>
          <w:rFonts w:hint="eastAsia" w:ascii="宋体" w:hAnsi="宋体" w:cs="宋体"/>
          <w:szCs w:val="21"/>
          <w:lang w:eastAsia="zh-TW"/>
        </w:rPr>
        <w:t>前，可以对所递交的响应文件进行补充、修改或者撤回，并书面通知采购人。补充、修改的内容应当按谈判文件要求签署、盖章，并作为响应文件的组成部分。</w:t>
      </w:r>
      <w:r>
        <w:rPr>
          <w:rFonts w:hint="eastAsia" w:ascii="宋体" w:hAnsi="宋体" w:cs="宋体"/>
          <w:szCs w:val="21"/>
        </w:rPr>
        <w:t>补充、修改的内容和响应文件不一致的，以补充、修改的内容为准。</w:t>
      </w:r>
      <w:r>
        <w:rPr>
          <w:rFonts w:hint="eastAsia" w:ascii="宋体" w:hAnsi="宋体" w:cs="宋体"/>
          <w:szCs w:val="21"/>
          <w:lang w:eastAsia="zh-TW"/>
        </w:rPr>
        <w:t>在响应文件</w:t>
      </w:r>
      <w:r>
        <w:rPr>
          <w:rFonts w:hint="eastAsia" w:ascii="宋体" w:hAnsi="宋体" w:cs="宋体"/>
          <w:szCs w:val="21"/>
        </w:rPr>
        <w:t>递交</w:t>
      </w:r>
      <w:r>
        <w:rPr>
          <w:rFonts w:hint="eastAsia" w:ascii="宋体" w:hAnsi="宋体" w:cs="宋体"/>
          <w:szCs w:val="21"/>
          <w:lang w:eastAsia="zh-TW"/>
        </w:rPr>
        <w:t>截止期时点之后，响应供应商不得对其响应文件做任何修改和补充。</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bCs/>
          <w:szCs w:val="21"/>
        </w:rPr>
        <w:t>除响应供应商在提交最后报价之前根据谈判情况退出谈判的情形外，响应供应商在递交响应文件截止后或在谈判文件中规定的谈判有效期内不可撤销其响应。否则，不予退还其谈判保证金。</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rPr>
        <w:t>响应供应商所提交的响应文件在本项目递交响应文件截止时间后均不予退还。</w:t>
      </w:r>
    </w:p>
    <w:p>
      <w:pPr>
        <w:snapToGrid w:val="0"/>
        <w:spacing w:line="360" w:lineRule="auto"/>
        <w:jc w:val="center"/>
        <w:rPr>
          <w:rFonts w:ascii="宋体" w:hAnsi="宋体"/>
          <w:b/>
          <w:sz w:val="28"/>
          <w:szCs w:val="28"/>
          <w:lang w:eastAsia="zh-TW"/>
        </w:rPr>
      </w:pPr>
      <w:bookmarkStart w:id="58" w:name="_Toc438226480"/>
      <w:r>
        <w:rPr>
          <w:rFonts w:hint="eastAsia" w:ascii="宋体" w:hAnsi="宋体"/>
          <w:b/>
          <w:sz w:val="28"/>
          <w:szCs w:val="28"/>
          <w:lang w:eastAsia="zh-TW"/>
        </w:rPr>
        <w:t>五、竞争性谈判流程</w:t>
      </w:r>
      <w:bookmarkEnd w:id="58"/>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响应文件的拆封</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cs="宋体"/>
          <w:szCs w:val="21"/>
          <w:lang w:eastAsia="zh-TW"/>
        </w:rPr>
        <w:t>采购代理机构在</w:t>
      </w:r>
      <w:r>
        <w:rPr>
          <w:rFonts w:hint="eastAsia" w:ascii="宋体" w:hAnsi="宋体" w:cs="宋体"/>
          <w:b/>
          <w:szCs w:val="21"/>
          <w:lang w:eastAsia="zh-TW"/>
        </w:rPr>
        <w:t>谈判</w:t>
      </w:r>
      <w:r>
        <w:rPr>
          <w:rFonts w:hint="eastAsia" w:ascii="宋体" w:hAnsi="宋体" w:cs="宋体"/>
          <w:b/>
          <w:szCs w:val="21"/>
        </w:rPr>
        <w:t>邀请</w:t>
      </w:r>
      <w:r>
        <w:rPr>
          <w:rFonts w:hint="eastAsia" w:ascii="宋体" w:hAnsi="宋体" w:cs="宋体"/>
          <w:szCs w:val="21"/>
          <w:lang w:eastAsia="zh-TW"/>
        </w:rPr>
        <w:t>中规定的日期、时</w:t>
      </w:r>
      <w:r>
        <w:rPr>
          <w:rFonts w:hint="eastAsia" w:ascii="宋体" w:hAnsi="宋体" w:cs="宋体"/>
          <w:szCs w:val="21"/>
        </w:rPr>
        <w:t>间</w:t>
      </w:r>
      <w:r>
        <w:rPr>
          <w:rFonts w:hint="eastAsia" w:ascii="宋体" w:hAnsi="宋体" w:cs="宋体"/>
          <w:szCs w:val="21"/>
          <w:lang w:eastAsia="zh-TW"/>
        </w:rPr>
        <w:t>和地点组织</w:t>
      </w:r>
      <w:r>
        <w:rPr>
          <w:rFonts w:hint="eastAsia" w:ascii="宋体" w:hAnsi="宋体" w:cs="宋体"/>
          <w:szCs w:val="21"/>
        </w:rPr>
        <w:t>谈判</w:t>
      </w:r>
      <w:r>
        <w:rPr>
          <w:rFonts w:hint="eastAsia" w:ascii="宋体" w:hAnsi="宋体" w:cs="宋体"/>
          <w:szCs w:val="21"/>
          <w:lang w:eastAsia="zh-TW"/>
        </w:rPr>
        <w:t>。</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响应文件拆封在谈判文件规定的竞争性谈判时间进行，拆封地点为谈判文件中预先确定的谈判地点。</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cs="宋体"/>
          <w:szCs w:val="21"/>
        </w:rPr>
        <w:t>响应文件递交</w:t>
      </w:r>
      <w:r>
        <w:rPr>
          <w:rFonts w:hint="eastAsia" w:ascii="宋体" w:hAnsi="宋体" w:cs="宋体"/>
          <w:szCs w:val="21"/>
          <w:lang w:eastAsia="zh-TW"/>
        </w:rPr>
        <w:t>截止时间后，由全体</w:t>
      </w:r>
      <w:r>
        <w:rPr>
          <w:rFonts w:hint="eastAsia" w:ascii="宋体" w:hAnsi="宋体" w:cs="宋体"/>
          <w:szCs w:val="21"/>
        </w:rPr>
        <w:t>响应</w:t>
      </w:r>
      <w:r>
        <w:rPr>
          <w:rFonts w:hint="eastAsia" w:ascii="宋体" w:hAnsi="宋体" w:cs="宋体"/>
          <w:szCs w:val="21"/>
          <w:lang w:eastAsia="zh-TW"/>
        </w:rPr>
        <w:t>供应商对全部响应文件的密封情况进行检查</w:t>
      </w:r>
      <w:r>
        <w:rPr>
          <w:rFonts w:hint="eastAsia" w:ascii="宋体" w:hAnsi="宋体" w:cs="宋体"/>
          <w:szCs w:val="21"/>
        </w:rPr>
        <w:t>。</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谈判小组</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cs="宋体"/>
          <w:szCs w:val="21"/>
        </w:rPr>
        <w:t>谈判</w:t>
      </w:r>
      <w:r>
        <w:rPr>
          <w:rFonts w:hint="eastAsia" w:ascii="宋体" w:hAnsi="宋体" w:cs="宋体"/>
          <w:szCs w:val="21"/>
          <w:lang w:eastAsia="zh-TW"/>
        </w:rPr>
        <w:t>由依照政府采购法律、法规、规章、政策的规定，组建的</w:t>
      </w:r>
      <w:r>
        <w:rPr>
          <w:rFonts w:hint="eastAsia" w:ascii="宋体" w:hAnsi="宋体" w:cs="宋体"/>
          <w:szCs w:val="21"/>
        </w:rPr>
        <w:t>谈判小组</w:t>
      </w:r>
      <w:r>
        <w:rPr>
          <w:rFonts w:hint="eastAsia" w:ascii="宋体" w:hAnsi="宋体" w:cs="宋体"/>
          <w:szCs w:val="21"/>
          <w:lang w:eastAsia="zh-TW"/>
        </w:rPr>
        <w:t>负责。</w:t>
      </w:r>
      <w:r>
        <w:rPr>
          <w:rFonts w:hint="eastAsia" w:ascii="宋体" w:hAnsi="宋体" w:cs="宋体"/>
          <w:szCs w:val="21"/>
        </w:rPr>
        <w:t>谈判小组</w:t>
      </w:r>
      <w:r>
        <w:rPr>
          <w:rFonts w:hint="eastAsia" w:ascii="宋体" w:hAnsi="宋体" w:cs="宋体"/>
          <w:szCs w:val="21"/>
          <w:lang w:eastAsia="zh-TW"/>
        </w:rPr>
        <w:t>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w:t>
      </w:r>
      <w:r>
        <w:rPr>
          <w:rFonts w:hint="eastAsia" w:ascii="宋体" w:hAnsi="宋体" w:cs="宋体"/>
          <w:szCs w:val="21"/>
        </w:rPr>
        <w:t>谈判小组</w:t>
      </w:r>
      <w:r>
        <w:rPr>
          <w:rFonts w:hint="eastAsia" w:ascii="宋体" w:hAnsi="宋体" w:cs="宋体"/>
          <w:szCs w:val="21"/>
          <w:lang w:eastAsia="zh-TW"/>
        </w:rPr>
        <w:t>人数构成将按照</w:t>
      </w:r>
      <w:r>
        <w:rPr>
          <w:rFonts w:hint="eastAsia" w:ascii="宋体" w:hAnsi="宋体" w:cs="宋体"/>
          <w:b/>
          <w:szCs w:val="21"/>
          <w:lang w:eastAsia="zh-TW"/>
        </w:rPr>
        <w:t>谈判资料表</w:t>
      </w:r>
      <w:r>
        <w:rPr>
          <w:rFonts w:hint="eastAsia" w:ascii="宋体" w:hAnsi="宋体" w:cs="宋体"/>
          <w:szCs w:val="21"/>
          <w:lang w:eastAsia="zh-TW"/>
        </w:rPr>
        <w:t>中确定。</w:t>
      </w:r>
      <w:r>
        <w:rPr>
          <w:rFonts w:hint="eastAsia" w:ascii="宋体" w:hAnsi="宋体" w:cs="宋体"/>
          <w:szCs w:val="21"/>
        </w:rPr>
        <w:t>谈判小组</w:t>
      </w:r>
      <w:r>
        <w:rPr>
          <w:rFonts w:hint="eastAsia" w:ascii="宋体" w:hAnsi="宋体" w:cs="宋体"/>
          <w:szCs w:val="21"/>
          <w:lang w:eastAsia="zh-TW"/>
        </w:rPr>
        <w:t>成员依法从政府采购专家库中随机抽取。</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谈判小组名单在谈判结果确定前严格保密</w:t>
      </w:r>
      <w:r>
        <w:rPr>
          <w:rFonts w:hint="eastAsia" w:ascii="宋体" w:hAnsi="宋体" w:cs="宋体"/>
          <w:szCs w:val="21"/>
          <w:lang w:eastAsia="zh-TW"/>
        </w:rPr>
        <w:t>。</w:t>
      </w:r>
      <w:r>
        <w:rPr>
          <w:rFonts w:hint="eastAsia" w:ascii="宋体" w:hAnsi="宋体" w:cs="宋体"/>
          <w:szCs w:val="21"/>
        </w:rPr>
        <w:t>评审</w:t>
      </w:r>
      <w:r>
        <w:rPr>
          <w:rFonts w:hint="eastAsia" w:ascii="宋体" w:hAnsi="宋体" w:cs="宋体"/>
          <w:szCs w:val="21"/>
          <w:lang w:eastAsia="zh-TW"/>
        </w:rPr>
        <w:t>专家有下列情形之一的，受到邀请应主动提出回避，采购当事人也可以要求该</w:t>
      </w:r>
      <w:r>
        <w:rPr>
          <w:rFonts w:hint="eastAsia" w:ascii="宋体" w:hAnsi="宋体" w:cs="宋体"/>
          <w:szCs w:val="21"/>
        </w:rPr>
        <w:t>评审</w:t>
      </w:r>
      <w:r>
        <w:rPr>
          <w:rFonts w:hint="eastAsia" w:ascii="宋体" w:hAnsi="宋体" w:cs="宋体"/>
          <w:szCs w:val="21"/>
          <w:lang w:eastAsia="zh-TW"/>
        </w:rPr>
        <w:t>专家回避：</w:t>
      </w:r>
    </w:p>
    <w:p>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参加采购活动前3年内与供应商存在劳动关系；</w:t>
      </w:r>
    </w:p>
    <w:p>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参加采购活动前3年内担任供应商的董事、监事；</w:t>
      </w:r>
    </w:p>
    <w:p>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4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谈判过程</w:t>
      </w:r>
    </w:p>
    <w:p>
      <w:pPr>
        <w:numPr>
          <w:ilvl w:val="1"/>
          <w:numId w:val="41"/>
        </w:numPr>
        <w:autoSpaceDE w:val="0"/>
        <w:autoSpaceDN w:val="0"/>
        <w:adjustRightInd w:val="0"/>
        <w:snapToGrid w:val="0"/>
        <w:spacing w:line="360" w:lineRule="auto"/>
        <w:jc w:val="left"/>
        <w:rPr>
          <w:szCs w:val="21"/>
        </w:rPr>
      </w:pPr>
      <w:r>
        <w:rPr>
          <w:rFonts w:hint="eastAsia" w:ascii="宋体" w:hAnsi="宋体" w:cs="宋体"/>
          <w:szCs w:val="21"/>
          <w:lang w:eastAsia="zh-TW"/>
        </w:rPr>
        <w:t>谈判小组将根据</w:t>
      </w:r>
      <w:r>
        <w:rPr>
          <w:rFonts w:hint="eastAsia" w:ascii="宋体" w:hAnsi="宋体" w:cs="宋体"/>
          <w:szCs w:val="21"/>
        </w:rPr>
        <w:t>谈判文件</w:t>
      </w:r>
      <w:r>
        <w:rPr>
          <w:rFonts w:hint="eastAsia" w:ascii="宋体" w:hAnsi="宋体" w:cs="宋体"/>
          <w:szCs w:val="21"/>
          <w:lang w:eastAsia="zh-TW"/>
        </w:rPr>
        <w:t>的规定，对响应文件进行资格性、符合性评审，</w:t>
      </w:r>
      <w:r>
        <w:rPr>
          <w:rFonts w:hint="eastAsia" w:ascii="宋体" w:hAnsi="宋体" w:cs="宋体"/>
          <w:szCs w:val="21"/>
        </w:rPr>
        <w:t>具体</w:t>
      </w:r>
      <w:r>
        <w:rPr>
          <w:rFonts w:hint="eastAsia" w:ascii="宋体" w:hAnsi="宋体" w:cs="宋体"/>
          <w:szCs w:val="21"/>
          <w:lang w:eastAsia="zh-TW"/>
        </w:rPr>
        <w:t>条款</w:t>
      </w:r>
      <w:r>
        <w:rPr>
          <w:rFonts w:hint="eastAsia" w:ascii="宋体" w:hAnsi="宋体" w:cs="宋体"/>
          <w:szCs w:val="21"/>
        </w:rPr>
        <w:t>详</w:t>
      </w:r>
      <w:r>
        <w:rPr>
          <w:rFonts w:hint="eastAsia" w:ascii="宋体" w:hAnsi="宋体" w:cs="宋体"/>
          <w:szCs w:val="21"/>
          <w:lang w:eastAsia="zh-TW"/>
        </w:rPr>
        <w:t>见</w:t>
      </w:r>
      <w:r>
        <w:rPr>
          <w:rFonts w:hint="eastAsia" w:ascii="宋体" w:hAnsi="宋体" w:cs="宋体"/>
          <w:szCs w:val="21"/>
        </w:rPr>
        <w:t>谈判</w:t>
      </w:r>
      <w:r>
        <w:rPr>
          <w:rFonts w:hint="eastAsia" w:ascii="宋体" w:hAnsi="宋体" w:cs="宋体"/>
          <w:szCs w:val="21"/>
          <w:lang w:eastAsia="zh-TW"/>
        </w:rPr>
        <w:t>文件</w:t>
      </w:r>
      <w:r>
        <w:rPr>
          <w:rFonts w:hint="eastAsia" w:ascii="宋体" w:hAnsi="宋体" w:cs="宋体"/>
          <w:szCs w:val="21"/>
        </w:rPr>
        <w:t>第三章中</w:t>
      </w:r>
      <w:r>
        <w:rPr>
          <w:rFonts w:hint="eastAsia" w:ascii="宋体" w:hAnsi="宋体" w:cs="宋体"/>
          <w:szCs w:val="21"/>
          <w:lang w:eastAsia="zh-TW"/>
        </w:rPr>
        <w:t>《资格、符合性评审</w:t>
      </w:r>
      <w:r>
        <w:rPr>
          <w:rFonts w:hint="eastAsia" w:ascii="宋体" w:hAnsi="宋体" w:cs="宋体"/>
          <w:szCs w:val="21"/>
        </w:rPr>
        <w:t>表</w:t>
      </w:r>
      <w:r>
        <w:rPr>
          <w:rFonts w:hint="eastAsia" w:ascii="宋体" w:hAnsi="宋体" w:cs="宋体"/>
          <w:szCs w:val="21"/>
          <w:lang w:eastAsia="zh-TW"/>
        </w:rPr>
        <w:t>》</w:t>
      </w:r>
      <w:r>
        <w:rPr>
          <w:rFonts w:hint="eastAsia" w:ascii="宋体" w:hAnsi="宋体" w:cs="宋体"/>
          <w:szCs w:val="21"/>
        </w:rPr>
        <w:t>。</w:t>
      </w:r>
      <w:r>
        <w:rPr>
          <w:rFonts w:hint="eastAsia" w:ascii="宋体" w:hAnsi="宋体" w:cs="宋体"/>
          <w:szCs w:val="21"/>
          <w:lang w:eastAsia="zh-TW"/>
        </w:rPr>
        <w:t>对初步被认定为资格</w:t>
      </w:r>
      <w:r>
        <w:rPr>
          <w:rFonts w:hint="eastAsia" w:ascii="宋体" w:hAnsi="宋体" w:cs="宋体"/>
          <w:szCs w:val="21"/>
        </w:rPr>
        <w:t>、符合性</w:t>
      </w:r>
      <w:r>
        <w:rPr>
          <w:rFonts w:hint="eastAsia" w:ascii="宋体" w:hAnsi="宋体" w:cs="宋体"/>
          <w:szCs w:val="21"/>
          <w:lang w:eastAsia="zh-TW"/>
        </w:rPr>
        <w:t>审查不合格的，</w:t>
      </w:r>
      <w:r>
        <w:rPr>
          <w:rFonts w:hint="eastAsia" w:ascii="宋体" w:hAnsi="宋体" w:cs="宋体"/>
          <w:szCs w:val="21"/>
        </w:rPr>
        <w:t>谈判小组应当</w:t>
      </w:r>
      <w:r>
        <w:rPr>
          <w:rFonts w:hint="eastAsia"/>
          <w:szCs w:val="21"/>
        </w:rPr>
        <w:t>现场告知</w:t>
      </w:r>
      <w:r>
        <w:rPr>
          <w:rFonts w:hint="eastAsia" w:ascii="宋体" w:hAnsi="宋体" w:cs="宋体"/>
          <w:szCs w:val="21"/>
        </w:rPr>
        <w:t>有关供应商，</w:t>
      </w:r>
      <w:r>
        <w:rPr>
          <w:rFonts w:hint="eastAsia" w:ascii="宋体" w:cs="宋体"/>
          <w:szCs w:val="21"/>
        </w:rPr>
        <w:t>以让其核证、澄清事实。未通过资格、符合性审查的响应供应商，不进入下一步谈判</w:t>
      </w:r>
      <w:r>
        <w:rPr>
          <w:rFonts w:hint="eastAsia"/>
          <w:szCs w:val="21"/>
        </w:rPr>
        <w:t>。对响应有效性认定意见不一致的，谈判小组按照少数服从多数的原则确定。</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szCs w:val="21"/>
        </w:rPr>
        <w:t>谈判小组应当对响应文件的有效性、完整性和响应程度进行评审，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cs="宋体"/>
          <w:szCs w:val="21"/>
        </w:rPr>
        <w:t>谈判小组要求供应商澄清、说明或者更正响应文件应当以书面形式作出，供应商的澄清、说明或者更正应当由法定代表人或其授权代表签字或者加盖公章。</w:t>
      </w:r>
      <w:r>
        <w:rPr>
          <w:rFonts w:hint="eastAsia" w:ascii="宋体" w:hAnsi="宋体" w:cs="宋体"/>
          <w:szCs w:val="21"/>
          <w:lang w:eastAsia="zh-TW"/>
        </w:rPr>
        <w:t>由授权代表签字的，应当附法定代表人授权书。供应商为自然人的，应当由本人签字并附身份证明。</w:t>
      </w:r>
    </w:p>
    <w:p>
      <w:pPr>
        <w:numPr>
          <w:ilvl w:val="1"/>
          <w:numId w:val="41"/>
        </w:numPr>
        <w:autoSpaceDE w:val="0"/>
        <w:autoSpaceDN w:val="0"/>
        <w:adjustRightInd w:val="0"/>
        <w:snapToGrid w:val="0"/>
        <w:spacing w:line="360" w:lineRule="auto"/>
        <w:rPr>
          <w:rFonts w:ascii="宋体" w:hAnsi="宋体" w:cs="黑体"/>
          <w:b/>
          <w:bCs/>
          <w:strike/>
          <w:szCs w:val="21"/>
        </w:rPr>
      </w:pPr>
      <w:r>
        <w:rPr>
          <w:rFonts w:hint="eastAsia"/>
          <w:szCs w:val="21"/>
        </w:rPr>
        <w:t>谈判小组根据谈判文件规定的程序、评定成交的标准等事项与</w:t>
      </w:r>
      <w:r>
        <w:rPr>
          <w:rFonts w:hint="eastAsia" w:ascii="宋体" w:hAnsi="宋体" w:cs="宋体"/>
          <w:szCs w:val="21"/>
          <w:lang w:eastAsia="zh-TW"/>
        </w:rPr>
        <w:t>通过资格、符合性审查</w:t>
      </w:r>
      <w:r>
        <w:rPr>
          <w:rFonts w:hint="eastAsia"/>
          <w:szCs w:val="21"/>
        </w:rPr>
        <w:t>的供应商进行谈判。</w:t>
      </w:r>
    </w:p>
    <w:p>
      <w:pPr>
        <w:numPr>
          <w:ilvl w:val="1"/>
          <w:numId w:val="41"/>
        </w:numPr>
        <w:autoSpaceDE w:val="0"/>
        <w:autoSpaceDN w:val="0"/>
        <w:adjustRightInd w:val="0"/>
        <w:snapToGrid w:val="0"/>
        <w:spacing w:line="360" w:lineRule="auto"/>
        <w:jc w:val="left"/>
        <w:rPr>
          <w:szCs w:val="21"/>
        </w:rPr>
      </w:pPr>
      <w:r>
        <w:rPr>
          <w:rFonts w:hint="eastAsia"/>
          <w:szCs w:val="21"/>
        </w:rPr>
        <w:t>谈判小组所有成员应当集中与单一供应</w:t>
      </w:r>
      <w:r>
        <w:rPr>
          <w:rFonts w:hint="eastAsia" w:ascii="宋体" w:hAnsi="宋体" w:cs="宋体"/>
          <w:szCs w:val="21"/>
          <w:lang w:eastAsia="zh-TW"/>
        </w:rPr>
        <w:t>商（以</w:t>
      </w:r>
      <w:r>
        <w:rPr>
          <w:rFonts w:hint="eastAsia" w:ascii="宋体" w:hAnsi="宋体" w:cs="宋体"/>
          <w:szCs w:val="21"/>
        </w:rPr>
        <w:t>响</w:t>
      </w:r>
      <w:r>
        <w:rPr>
          <w:rFonts w:hint="eastAsia" w:ascii="宋体" w:hAnsi="宋体" w:cs="宋体"/>
          <w:szCs w:val="21"/>
          <w:lang w:eastAsia="zh-TW"/>
        </w:rPr>
        <w:t>应供应商签到顺序为准）</w:t>
      </w:r>
      <w:r>
        <w:rPr>
          <w:rFonts w:hint="eastAsia"/>
          <w:szCs w:val="21"/>
        </w:rPr>
        <w:t>分别进行谈判，并给予所有参加谈判</w:t>
      </w:r>
      <w:r>
        <w:rPr>
          <w:rFonts w:hint="eastAsia" w:ascii="宋体" w:hAnsi="宋体" w:cs="宋体"/>
          <w:szCs w:val="21"/>
        </w:rPr>
        <w:t>的响应</w:t>
      </w:r>
      <w:r>
        <w:rPr>
          <w:rFonts w:hint="eastAsia"/>
          <w:szCs w:val="21"/>
        </w:rPr>
        <w:t>供应商平等的谈判机</w:t>
      </w:r>
      <w:r>
        <w:rPr>
          <w:rFonts w:hint="eastAsia" w:ascii="宋体" w:hAnsi="宋体" w:cs="宋体"/>
          <w:szCs w:val="21"/>
        </w:rPr>
        <w:t>会</w:t>
      </w:r>
      <w:r>
        <w:rPr>
          <w:rFonts w:hint="eastAsia" w:ascii="宋体" w:hAnsi="宋体" w:cs="宋体"/>
          <w:szCs w:val="21"/>
          <w:lang w:eastAsia="zh-TW"/>
        </w:rPr>
        <w:t>（一轮或多轮，不超过三轮，具体谈判轮次由谈判小组视情况决定</w:t>
      </w:r>
      <w:r>
        <w:rPr>
          <w:rFonts w:hint="eastAsia" w:ascii="宋体" w:hAnsi="宋体" w:cs="宋体"/>
          <w:szCs w:val="21"/>
        </w:rPr>
        <w:t>）</w:t>
      </w:r>
      <w:r>
        <w:rPr>
          <w:rFonts w:hint="eastAsia"/>
          <w:szCs w:val="21"/>
        </w:rPr>
        <w:t>。</w:t>
      </w:r>
    </w:p>
    <w:p>
      <w:pPr>
        <w:numPr>
          <w:ilvl w:val="1"/>
          <w:numId w:val="41"/>
        </w:numPr>
        <w:autoSpaceDE w:val="0"/>
        <w:autoSpaceDN w:val="0"/>
        <w:adjustRightInd w:val="0"/>
        <w:snapToGrid w:val="0"/>
        <w:spacing w:line="360" w:lineRule="auto"/>
        <w:jc w:val="left"/>
        <w:rPr>
          <w:szCs w:val="21"/>
        </w:rPr>
      </w:pPr>
      <w:r>
        <w:rPr>
          <w:rFonts w:hint="eastAsia"/>
          <w:szCs w:val="21"/>
        </w:rPr>
        <w:t>在谈判过程中，谈判小组可以根据谈判文件和谈判情况实质性变动采购需求中的技术、服务要求以及合同草案条款，但不得变动谈判文件中的其他内容。实质性变动的内容，须经采购人代表确认。对谈判文件作出实质性变动是谈判文件的有效组成部分，谈判小组应当及时以书面形式同时通知所有参加谈判的响应供应商。</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在谈判中，谈判小组</w:t>
      </w:r>
      <w:r>
        <w:rPr>
          <w:rFonts w:hint="eastAsia" w:ascii="宋体" w:hAnsi="宋体" w:cs="宋体"/>
          <w:szCs w:val="21"/>
        </w:rPr>
        <w:t>及</w:t>
      </w:r>
      <w:r>
        <w:rPr>
          <w:rFonts w:hint="eastAsia" w:ascii="宋体" w:hAnsi="宋体" w:cs="宋体"/>
          <w:szCs w:val="21"/>
          <w:lang w:eastAsia="zh-TW"/>
        </w:rPr>
        <w:t>有关当事人应当严格遵守保密原则，任何人不得透露与谈判有关的</w:t>
      </w:r>
      <w:r>
        <w:rPr>
          <w:rFonts w:hint="eastAsia" w:ascii="宋体" w:hAnsi="宋体" w:cs="宋体"/>
          <w:szCs w:val="21"/>
        </w:rPr>
        <w:t>其他</w:t>
      </w:r>
      <w:r>
        <w:rPr>
          <w:rFonts w:hint="eastAsia" w:ascii="宋体" w:hAnsi="宋体" w:cs="宋体"/>
          <w:szCs w:val="21"/>
          <w:lang w:eastAsia="zh-TW"/>
        </w:rPr>
        <w:t>响应供应商的技术</w:t>
      </w:r>
      <w:r>
        <w:rPr>
          <w:rFonts w:hint="eastAsia" w:ascii="宋体" w:hAnsi="宋体" w:cs="宋体"/>
          <w:szCs w:val="21"/>
        </w:rPr>
        <w:t>资料</w:t>
      </w:r>
      <w:r>
        <w:rPr>
          <w:rFonts w:hint="eastAsia" w:ascii="宋体" w:hAnsi="宋体" w:cs="宋体"/>
          <w:szCs w:val="21"/>
          <w:lang w:eastAsia="zh-TW"/>
        </w:rPr>
        <w:t>、价格和其他信息。</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谈判结束后，所有作出实质性响应的有效供应商应在规定的时间内集中密封提交最后报价（最后报价时间视谈判进程由谈判小组决定），最后报价是供应商响应文件的有效组成部分</w:t>
      </w:r>
      <w:r>
        <w:rPr>
          <w:rFonts w:hint="eastAsia" w:ascii="宋体" w:hAnsi="宋体" w:cs="宋体"/>
          <w:szCs w:val="21"/>
        </w:rPr>
        <w:t>，并对所有响应供应商进行公开唱出</w:t>
      </w:r>
      <w:r>
        <w:rPr>
          <w:rFonts w:hint="eastAsia" w:ascii="宋体" w:hAnsi="宋体" w:cs="宋体"/>
          <w:szCs w:val="21"/>
          <w:lang w:eastAsia="zh-TW"/>
        </w:rPr>
        <w:t>。</w:t>
      </w:r>
    </w:p>
    <w:p>
      <w:pPr>
        <w:numPr>
          <w:ilvl w:val="1"/>
          <w:numId w:val="4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谈判小组按照评定成交的</w:t>
      </w:r>
      <w:r>
        <w:rPr>
          <w:rFonts w:ascii="宋体" w:hAnsi="宋体" w:cs="宋体"/>
          <w:szCs w:val="21"/>
          <w:lang w:eastAsia="zh-TW"/>
        </w:rPr>
        <w:t>评审方法</w:t>
      </w:r>
      <w:r>
        <w:rPr>
          <w:rFonts w:hint="eastAsia" w:ascii="宋体" w:hAnsi="宋体" w:cs="宋体"/>
          <w:szCs w:val="21"/>
          <w:lang w:eastAsia="zh-TW"/>
        </w:rPr>
        <w:t>和标准，对</w:t>
      </w:r>
      <w:r>
        <w:rPr>
          <w:rFonts w:hint="eastAsia" w:ascii="宋体" w:hAnsi="宋体" w:cs="宋体"/>
          <w:szCs w:val="21"/>
        </w:rPr>
        <w:t>响应</w:t>
      </w:r>
      <w:r>
        <w:rPr>
          <w:rFonts w:hint="eastAsia" w:ascii="宋体" w:hAnsi="宋体" w:cs="宋体"/>
          <w:szCs w:val="21"/>
          <w:lang w:eastAsia="zh-TW"/>
        </w:rPr>
        <w:t>供应商提供的最</w:t>
      </w:r>
      <w:r>
        <w:rPr>
          <w:rFonts w:hint="eastAsia" w:ascii="宋体" w:hAnsi="宋体" w:cs="宋体"/>
          <w:szCs w:val="21"/>
        </w:rPr>
        <w:t>后</w:t>
      </w:r>
      <w:r>
        <w:rPr>
          <w:rFonts w:hint="eastAsia" w:ascii="宋体" w:hAnsi="宋体" w:cs="宋体"/>
          <w:szCs w:val="21"/>
          <w:lang w:eastAsia="zh-TW"/>
        </w:rPr>
        <w:t>报价及有关承诺进行评审。</w:t>
      </w:r>
      <w:r>
        <w:rPr>
          <w:rFonts w:hint="eastAsia" w:ascii="宋体" w:hAnsi="宋体"/>
          <w:szCs w:val="21"/>
        </w:rPr>
        <w:t>除了算术修正和落实政府采购政策需进行的价格扣除外，不能对响应供应商的价格进行任何调整。谈判小组对响应供应商的最后价格进行评审，详见《价格评审》</w:t>
      </w:r>
      <w:r>
        <w:rPr>
          <w:rFonts w:hint="eastAsia" w:ascii="宋体" w:hAnsi="宋体" w:cs="宋体"/>
          <w:szCs w:val="21"/>
          <w:lang w:eastAsia="zh-TW"/>
        </w:rPr>
        <w:t>。</w:t>
      </w:r>
    </w:p>
    <w:p>
      <w:pPr>
        <w:numPr>
          <w:ilvl w:val="1"/>
          <w:numId w:val="41"/>
        </w:numPr>
        <w:autoSpaceDE w:val="0"/>
        <w:autoSpaceDN w:val="0"/>
        <w:adjustRightInd w:val="0"/>
        <w:snapToGrid w:val="0"/>
        <w:spacing w:line="360" w:lineRule="auto"/>
        <w:jc w:val="left"/>
        <w:rPr>
          <w:szCs w:val="21"/>
        </w:rPr>
      </w:pPr>
      <w:r>
        <w:rPr>
          <w:rFonts w:hint="eastAsia"/>
          <w:szCs w:val="21"/>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numPr>
          <w:ilvl w:val="1"/>
          <w:numId w:val="41"/>
        </w:numPr>
        <w:autoSpaceDE w:val="0"/>
        <w:autoSpaceDN w:val="0"/>
        <w:adjustRightInd w:val="0"/>
        <w:snapToGrid w:val="0"/>
        <w:spacing w:line="360" w:lineRule="auto"/>
        <w:jc w:val="left"/>
        <w:rPr>
          <w:rFonts w:ascii="宋体" w:hAnsi="宋体" w:cs="宋体"/>
          <w:szCs w:val="21"/>
        </w:rPr>
      </w:pPr>
      <w:r>
        <w:rPr>
          <w:rFonts w:ascii="宋体" w:hAnsi="宋体" w:cs="宋体"/>
          <w:szCs w:val="21"/>
        </w:rPr>
        <w:t xml:space="preserve">在招标采购中，出现下列情形之一的，应予废标： </w:t>
      </w:r>
    </w:p>
    <w:p>
      <w:pPr>
        <w:numPr>
          <w:ilvl w:val="2"/>
          <w:numId w:val="41"/>
        </w:numPr>
        <w:tabs>
          <w:tab w:val="left" w:pos="851"/>
        </w:tabs>
        <w:autoSpaceDE w:val="0"/>
        <w:autoSpaceDN w:val="0"/>
        <w:adjustRightInd w:val="0"/>
        <w:snapToGrid w:val="0"/>
        <w:spacing w:line="360" w:lineRule="auto"/>
        <w:jc w:val="left"/>
        <w:rPr>
          <w:rFonts w:ascii="宋体" w:hAnsi="宋体" w:cs="宋体"/>
          <w:szCs w:val="21"/>
        </w:rPr>
      </w:pPr>
      <w:r>
        <w:rPr>
          <w:rFonts w:ascii="宋体" w:hAnsi="宋体" w:cs="宋体"/>
          <w:szCs w:val="21"/>
        </w:rPr>
        <w:t>符合专业条件的供应商或者对</w:t>
      </w:r>
      <w:r>
        <w:rPr>
          <w:rFonts w:hint="eastAsia" w:ascii="宋体" w:hAnsi="宋体" w:cs="宋体"/>
          <w:szCs w:val="21"/>
        </w:rPr>
        <w:t>谈判</w:t>
      </w:r>
      <w:r>
        <w:rPr>
          <w:rFonts w:ascii="宋体" w:hAnsi="宋体" w:cs="宋体"/>
          <w:szCs w:val="21"/>
        </w:rPr>
        <w:t>文件作实质响应的供应商不足三家的；</w:t>
      </w:r>
    </w:p>
    <w:p>
      <w:pPr>
        <w:numPr>
          <w:ilvl w:val="2"/>
          <w:numId w:val="41"/>
        </w:numPr>
        <w:tabs>
          <w:tab w:val="left" w:pos="851"/>
        </w:tabs>
        <w:autoSpaceDE w:val="0"/>
        <w:autoSpaceDN w:val="0"/>
        <w:adjustRightInd w:val="0"/>
        <w:snapToGrid w:val="0"/>
        <w:spacing w:line="360" w:lineRule="auto"/>
        <w:jc w:val="left"/>
        <w:rPr>
          <w:rFonts w:ascii="宋体" w:hAnsi="宋体" w:cs="宋体"/>
          <w:szCs w:val="21"/>
        </w:rPr>
      </w:pPr>
      <w:r>
        <w:rPr>
          <w:rFonts w:ascii="宋体" w:hAnsi="宋体" w:cs="宋体"/>
          <w:szCs w:val="21"/>
        </w:rPr>
        <w:t>出现影响采购公正的违法、违规行为的；</w:t>
      </w:r>
    </w:p>
    <w:p>
      <w:pPr>
        <w:numPr>
          <w:ilvl w:val="2"/>
          <w:numId w:val="41"/>
        </w:numPr>
        <w:tabs>
          <w:tab w:val="left" w:pos="851"/>
        </w:tabs>
        <w:autoSpaceDE w:val="0"/>
        <w:autoSpaceDN w:val="0"/>
        <w:adjustRightInd w:val="0"/>
        <w:snapToGrid w:val="0"/>
        <w:spacing w:line="360" w:lineRule="auto"/>
        <w:jc w:val="left"/>
        <w:rPr>
          <w:rFonts w:ascii="宋体" w:hAnsi="宋体" w:cs="宋体"/>
          <w:szCs w:val="21"/>
        </w:rPr>
      </w:pPr>
      <w:r>
        <w:rPr>
          <w:rFonts w:ascii="宋体" w:hAnsi="宋体" w:cs="宋体"/>
          <w:szCs w:val="21"/>
        </w:rPr>
        <w:t>响应供应商的报价均超过了采购预算，采购人不能支付的；</w:t>
      </w:r>
    </w:p>
    <w:p>
      <w:pPr>
        <w:numPr>
          <w:ilvl w:val="2"/>
          <w:numId w:val="41"/>
        </w:numPr>
        <w:tabs>
          <w:tab w:val="left" w:pos="851"/>
        </w:tabs>
        <w:autoSpaceDE w:val="0"/>
        <w:autoSpaceDN w:val="0"/>
        <w:adjustRightInd w:val="0"/>
        <w:snapToGrid w:val="0"/>
        <w:spacing w:line="360" w:lineRule="auto"/>
        <w:jc w:val="left"/>
        <w:rPr>
          <w:rFonts w:ascii="宋体" w:hAnsi="宋体" w:cs="宋体"/>
          <w:szCs w:val="21"/>
        </w:rPr>
      </w:pPr>
      <w:r>
        <w:rPr>
          <w:rFonts w:ascii="宋体" w:hAnsi="宋体" w:cs="宋体"/>
          <w:szCs w:val="21"/>
        </w:rPr>
        <w:t>因重大变故，采购任务取消的</w:t>
      </w:r>
      <w:r>
        <w:rPr>
          <w:rFonts w:hint="eastAsia" w:ascii="宋体" w:hAnsi="宋体" w:cs="宋体"/>
          <w:szCs w:val="21"/>
        </w:rPr>
        <w:t>。</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ascii="宋体" w:hAnsi="宋体"/>
          <w:b/>
          <w:bCs/>
          <w:szCs w:val="21"/>
        </w:rPr>
        <w:t>评审方法</w:t>
      </w:r>
      <w:r>
        <w:rPr>
          <w:rFonts w:hint="eastAsia" w:ascii="宋体" w:hAnsi="宋体"/>
          <w:b/>
          <w:bCs/>
          <w:szCs w:val="21"/>
        </w:rPr>
        <w:t>和标准</w:t>
      </w:r>
    </w:p>
    <w:p>
      <w:pPr>
        <w:numPr>
          <w:ilvl w:val="1"/>
          <w:numId w:val="41"/>
        </w:numPr>
        <w:autoSpaceDE w:val="0"/>
        <w:autoSpaceDN w:val="0"/>
        <w:adjustRightInd w:val="0"/>
        <w:snapToGrid w:val="0"/>
        <w:spacing w:line="360" w:lineRule="auto"/>
        <w:rPr>
          <w:rFonts w:ascii="宋体" w:hAnsi="宋体" w:cs="宋体"/>
          <w:szCs w:val="21"/>
        </w:rPr>
      </w:pPr>
      <w:r>
        <w:rPr>
          <w:rFonts w:hint="eastAsia" w:ascii="宋体" w:hAnsi="宋体" w:cs="宋体"/>
          <w:szCs w:val="21"/>
        </w:rPr>
        <w:t>本项目比照最低评标价法确定成交供应商，即在质量和服务均能满足谈判文件实质性响应要求的前提下，以提出最低报价（</w:t>
      </w:r>
      <w:r>
        <w:rPr>
          <w:rFonts w:hint="eastAsia" w:ascii="宋体" w:hAnsi="宋体" w:cs="宋体"/>
          <w:szCs w:val="21"/>
          <w:lang w:eastAsia="zh-TW"/>
        </w:rPr>
        <w:t>指修正及价格扣除后的</w:t>
      </w:r>
      <w:r>
        <w:rPr>
          <w:rFonts w:hint="eastAsia" w:ascii="宋体" w:hAnsi="宋体" w:cs="宋体"/>
          <w:szCs w:val="21"/>
        </w:rPr>
        <w:t>价格，即评审价）的响应供应商作为成交供应商。</w:t>
      </w:r>
      <w:r>
        <w:rPr>
          <w:rFonts w:hint="eastAsia" w:ascii="宋体" w:hAnsi="宋体"/>
          <w:szCs w:val="21"/>
        </w:rPr>
        <w:t>除</w:t>
      </w:r>
      <w:r>
        <w:rPr>
          <w:rFonts w:hint="eastAsia" w:ascii="宋体" w:hAnsi="宋体"/>
          <w:b/>
          <w:szCs w:val="21"/>
        </w:rPr>
        <w:t>谈判资料表</w:t>
      </w:r>
      <w:r>
        <w:rPr>
          <w:rFonts w:hint="eastAsia" w:ascii="宋体" w:hAnsi="宋体"/>
          <w:szCs w:val="21"/>
        </w:rPr>
        <w:t>另有规定的，按照</w:t>
      </w:r>
      <w:r>
        <w:rPr>
          <w:rFonts w:hint="eastAsia" w:ascii="宋体" w:hAnsi="宋体" w:cs="宋体"/>
          <w:szCs w:val="21"/>
        </w:rPr>
        <w:t>最后报价</w:t>
      </w:r>
      <w:r>
        <w:rPr>
          <w:rFonts w:hint="eastAsia" w:ascii="宋体" w:hAnsi="宋体"/>
          <w:szCs w:val="21"/>
        </w:rPr>
        <w:t>由低到高的顺序推荐三名成交候选人。</w:t>
      </w:r>
    </w:p>
    <w:p>
      <w:pPr>
        <w:numPr>
          <w:ilvl w:val="1"/>
          <w:numId w:val="4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w:t>
      </w:r>
      <w:r>
        <w:rPr>
          <w:rFonts w:hint="eastAsia" w:ascii="宋体" w:hAnsi="宋体" w:cs="宋体"/>
          <w:szCs w:val="21"/>
        </w:rPr>
        <w:t>审</w:t>
      </w:r>
      <w:r>
        <w:rPr>
          <w:rFonts w:hint="eastAsia" w:ascii="宋体" w:hAnsi="宋体" w:cs="宋体"/>
          <w:szCs w:val="21"/>
          <w:lang w:eastAsia="zh-TW"/>
        </w:rPr>
        <w:t>价相同的，</w:t>
      </w:r>
      <w:r>
        <w:rPr>
          <w:rFonts w:hint="eastAsia" w:ascii="宋体" w:hAnsi="宋体" w:cs="宋体"/>
          <w:szCs w:val="21"/>
        </w:rPr>
        <w:t>排名</w:t>
      </w:r>
      <w:r>
        <w:rPr>
          <w:rFonts w:hint="eastAsia" w:ascii="宋体" w:hAnsi="宋体" w:cs="宋体"/>
          <w:szCs w:val="21"/>
          <w:lang w:eastAsia="zh-TW"/>
        </w:rPr>
        <w:t>由谈判小组抽签确定。排名第一的报价供应商为第一成交候选人，排名第二的报价供应商为第二成交候选人，排名第三的报价供应商为第三成交候选人。</w:t>
      </w:r>
    </w:p>
    <w:p>
      <w:pPr>
        <w:numPr>
          <w:ilvl w:val="1"/>
          <w:numId w:val="41"/>
        </w:numPr>
        <w:autoSpaceDE w:val="0"/>
        <w:autoSpaceDN w:val="0"/>
        <w:adjustRightInd w:val="0"/>
        <w:snapToGrid w:val="0"/>
        <w:spacing w:line="360" w:lineRule="auto"/>
        <w:rPr>
          <w:rFonts w:ascii="宋体" w:hAnsi="宋体" w:cs="宋体"/>
          <w:szCs w:val="21"/>
          <w:lang w:eastAsia="zh-TW"/>
        </w:rPr>
      </w:pPr>
      <w:r>
        <w:rPr>
          <w:rFonts w:hint="eastAsia" w:ascii="宋体" w:hAnsi="宋体" w:cs="宋体"/>
          <w:lang w:eastAsia="zh-TW"/>
        </w:rPr>
        <w:t>单一产品采购项目提供相同品牌产品的不同响应供应商参加同一合同项下投标的或非单一产品采购项目多家响应供应商提供的</w:t>
      </w:r>
      <w:r>
        <w:rPr>
          <w:rFonts w:hint="eastAsia" w:ascii="宋体" w:hAnsi="宋体" w:cs="宋体"/>
        </w:rPr>
        <w:t>核心产品</w:t>
      </w:r>
      <w:r>
        <w:rPr>
          <w:rFonts w:hint="eastAsia" w:ascii="宋体" w:hAnsi="宋体" w:cs="宋体"/>
          <w:lang w:eastAsia="zh-TW"/>
        </w:rPr>
        <w:t>品牌相同的，以其中通过资格、符合性审查且</w:t>
      </w:r>
      <w:r>
        <w:rPr>
          <w:rFonts w:hint="eastAsia" w:ascii="宋体" w:hAnsi="宋体" w:cs="宋体"/>
        </w:rPr>
        <w:t>最后</w:t>
      </w:r>
      <w:r>
        <w:rPr>
          <w:rFonts w:hint="eastAsia" w:ascii="宋体" w:hAnsi="宋体" w:cs="宋体"/>
          <w:lang w:eastAsia="zh-TW"/>
        </w:rPr>
        <w:t>报价</w:t>
      </w:r>
      <w:r>
        <w:rPr>
          <w:rFonts w:hint="eastAsia" w:ascii="宋体" w:hAnsi="宋体" w:cs="宋体"/>
        </w:rPr>
        <w:t>（指因</w:t>
      </w:r>
      <w:r>
        <w:rPr>
          <w:rFonts w:hint="eastAsia" w:ascii="宋体" w:hAnsi="宋体"/>
          <w:szCs w:val="21"/>
        </w:rPr>
        <w:t>算术修正或落实政府采购政策进行的价格扣除后的报价</w:t>
      </w:r>
      <w:r>
        <w:rPr>
          <w:rFonts w:hint="eastAsia" w:ascii="宋体" w:hAnsi="宋体" w:cs="宋体"/>
        </w:rPr>
        <w:t>）</w:t>
      </w:r>
      <w:r>
        <w:rPr>
          <w:rFonts w:hint="eastAsia" w:ascii="宋体" w:hAnsi="宋体" w:cs="宋体"/>
          <w:lang w:eastAsia="zh-TW"/>
        </w:rPr>
        <w:t>最低的参</w:t>
      </w:r>
      <w:r>
        <w:rPr>
          <w:rFonts w:hint="eastAsia" w:ascii="宋体" w:hAnsi="宋体" w:cs="宋体"/>
        </w:rPr>
        <w:t>与价格评审</w:t>
      </w:r>
      <w:r>
        <w:rPr>
          <w:rFonts w:hint="eastAsia" w:ascii="宋体" w:hAnsi="宋体" w:cs="宋体"/>
          <w:lang w:eastAsia="zh-TW"/>
        </w:rPr>
        <w:t>；</w:t>
      </w:r>
      <w:r>
        <w:rPr>
          <w:rFonts w:hint="eastAsia" w:ascii="宋体" w:hAnsi="宋体" w:cs="宋体"/>
        </w:rPr>
        <w:t>最后</w:t>
      </w:r>
      <w:r>
        <w:rPr>
          <w:rFonts w:hint="eastAsia" w:ascii="宋体" w:hAnsi="宋体" w:cs="宋体"/>
          <w:lang w:eastAsia="zh-TW"/>
        </w:rPr>
        <w:t>报价相同的，由</w:t>
      </w:r>
      <w:r>
        <w:rPr>
          <w:rFonts w:hint="eastAsia" w:ascii="宋体" w:hAnsi="宋体" w:cs="宋体"/>
        </w:rPr>
        <w:t>采购人委托</w:t>
      </w:r>
      <w:r>
        <w:rPr>
          <w:rFonts w:hint="eastAsia" w:ascii="宋体" w:hAnsi="宋体" w:cs="宋体"/>
          <w:lang w:eastAsia="zh-TW"/>
        </w:rPr>
        <w:t>谈判小组采取随机抽取方式确定，其他</w:t>
      </w:r>
      <w:r>
        <w:rPr>
          <w:rFonts w:hint="eastAsia" w:ascii="宋体" w:hAnsi="宋体" w:cs="宋体"/>
        </w:rPr>
        <w:t>响应</w:t>
      </w:r>
      <w:r>
        <w:rPr>
          <w:rFonts w:hint="eastAsia" w:ascii="宋体" w:hAnsi="宋体" w:cs="宋体"/>
          <w:lang w:eastAsia="zh-TW"/>
        </w:rPr>
        <w:t>无效</w:t>
      </w:r>
      <w:r>
        <w:rPr>
          <w:rFonts w:hint="eastAsia" w:ascii="宋体" w:hAnsi="宋体" w:cs="宋体"/>
        </w:rPr>
        <w:t>。</w:t>
      </w:r>
    </w:p>
    <w:p>
      <w:pPr>
        <w:numPr>
          <w:ilvl w:val="1"/>
          <w:numId w:val="41"/>
        </w:numPr>
        <w:autoSpaceDE w:val="0"/>
        <w:autoSpaceDN w:val="0"/>
        <w:adjustRightInd w:val="0"/>
        <w:snapToGrid w:val="0"/>
        <w:spacing w:line="360" w:lineRule="auto"/>
        <w:rPr>
          <w:rFonts w:ascii="宋体" w:hAnsi="宋体"/>
          <w:b/>
          <w:bCs/>
          <w:szCs w:val="21"/>
        </w:rPr>
      </w:pPr>
      <w:r>
        <w:rPr>
          <w:rFonts w:ascii="宋体" w:hAnsi="宋体" w:cs="宋体"/>
          <w:szCs w:val="21"/>
          <w:lang w:eastAsia="zh-TW"/>
        </w:rPr>
        <w:t>谈判小组提</w:t>
      </w:r>
      <w:r>
        <w:rPr>
          <w:rFonts w:hint="eastAsia" w:ascii="宋体" w:hAnsi="宋体" w:cs="宋体"/>
          <w:szCs w:val="21"/>
          <w:lang w:eastAsia="zh-TW"/>
        </w:rPr>
        <w:t>交</w:t>
      </w:r>
      <w:r>
        <w:rPr>
          <w:rFonts w:ascii="宋体" w:hAnsi="宋体" w:cs="宋体"/>
          <w:szCs w:val="21"/>
          <w:lang w:eastAsia="zh-TW"/>
        </w:rPr>
        <w:t>评审报告和推荐成交意见报</w:t>
      </w:r>
      <w:r>
        <w:rPr>
          <w:rFonts w:hint="eastAsia" w:ascii="宋体" w:hAnsi="宋体" w:cs="宋体"/>
          <w:szCs w:val="21"/>
          <w:lang w:eastAsia="zh-TW"/>
        </w:rPr>
        <w:t>采购</w:t>
      </w:r>
      <w:r>
        <w:rPr>
          <w:rFonts w:ascii="宋体" w:hAnsi="宋体" w:cs="宋体"/>
          <w:szCs w:val="21"/>
          <w:lang w:eastAsia="zh-TW"/>
        </w:rPr>
        <w:t>人</w:t>
      </w:r>
      <w:r>
        <w:rPr>
          <w:rFonts w:hint="eastAsia" w:ascii="宋体" w:hAnsi="宋体" w:cs="宋体"/>
          <w:szCs w:val="21"/>
          <w:lang w:eastAsia="zh-TW"/>
        </w:rPr>
        <w:t>确认</w:t>
      </w:r>
      <w:r>
        <w:rPr>
          <w:rFonts w:hint="eastAsia" w:ascii="宋体" w:hAnsi="宋体"/>
          <w:szCs w:val="21"/>
        </w:rPr>
        <w:t>，采购人在收到评审报告后的规定时间内，按照评审报告中推荐的成交候选人顺序确定成交供应商，也可以事先授权谈判小组直接确定成交供应商。</w:t>
      </w:r>
    </w:p>
    <w:p>
      <w:pPr>
        <w:autoSpaceDE w:val="0"/>
        <w:autoSpaceDN w:val="0"/>
        <w:adjustRightInd w:val="0"/>
        <w:snapToGrid w:val="0"/>
        <w:spacing w:line="360" w:lineRule="auto"/>
        <w:ind w:left="567"/>
        <w:jc w:val="center"/>
        <w:rPr>
          <w:rFonts w:ascii="宋体" w:hAnsi="宋体"/>
          <w:szCs w:val="21"/>
        </w:rPr>
      </w:pPr>
      <w:r>
        <w:rPr>
          <w:rFonts w:hint="eastAsia" w:ascii="宋体" w:hAnsi="宋体"/>
          <w:b/>
          <w:sz w:val="28"/>
          <w:szCs w:val="28"/>
        </w:rPr>
        <w:t>六</w:t>
      </w:r>
      <w:r>
        <w:rPr>
          <w:rFonts w:hint="eastAsia" w:ascii="宋体" w:hAnsi="宋体"/>
          <w:b/>
          <w:sz w:val="28"/>
          <w:szCs w:val="28"/>
          <w:lang w:eastAsia="zh-TW"/>
        </w:rPr>
        <w:t>、</w:t>
      </w:r>
      <w:r>
        <w:rPr>
          <w:rFonts w:hint="eastAsia" w:ascii="宋体" w:hAnsi="宋体"/>
          <w:b/>
          <w:sz w:val="28"/>
          <w:szCs w:val="28"/>
        </w:rPr>
        <w:t>成交结果</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确定成交结果</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成交供应商确定后，采购代理机构将</w:t>
      </w:r>
      <w:r>
        <w:rPr>
          <w:rFonts w:hint="eastAsia" w:ascii="宋体" w:hAnsi="宋体" w:cs="宋体"/>
          <w:szCs w:val="21"/>
        </w:rPr>
        <w:t>发布采购信息公告的媒体</w:t>
      </w:r>
      <w:r>
        <w:rPr>
          <w:rFonts w:hint="eastAsia" w:ascii="宋体" w:hAnsi="宋体" w:cs="宋体"/>
          <w:szCs w:val="21"/>
          <w:lang w:eastAsia="zh-TW"/>
        </w:rPr>
        <w:t>上</w:t>
      </w:r>
      <w:r>
        <w:rPr>
          <w:rFonts w:ascii="宋体" w:hAnsi="宋体"/>
          <w:szCs w:val="21"/>
        </w:rPr>
        <w:t>发</w:t>
      </w:r>
      <w:r>
        <w:rPr>
          <w:rFonts w:hint="eastAsia" w:ascii="宋体" w:hAnsi="宋体"/>
          <w:szCs w:val="21"/>
        </w:rPr>
        <w:t>布成交结果公告。并向</w:t>
      </w:r>
      <w:r>
        <w:rPr>
          <w:rFonts w:hint="eastAsia" w:ascii="宋体" w:hAnsi="宋体" w:cs="宋体"/>
          <w:szCs w:val="21"/>
        </w:rPr>
        <w:t>成交供应商</w:t>
      </w:r>
      <w:r>
        <w:rPr>
          <w:rFonts w:hint="eastAsia" w:ascii="宋体" w:hAnsi="宋体"/>
          <w:szCs w:val="21"/>
        </w:rPr>
        <w:t>发出《成交通知书》，向采购人及未成交供应商发出《成交结果通知书》，《成交通知书》对</w:t>
      </w:r>
      <w:r>
        <w:rPr>
          <w:rFonts w:hint="eastAsia" w:ascii="宋体" w:hAnsi="宋体" w:cs="宋体"/>
          <w:szCs w:val="21"/>
        </w:rPr>
        <w:t>成交供应商</w:t>
      </w:r>
      <w:r>
        <w:rPr>
          <w:rFonts w:hint="eastAsia" w:ascii="宋体" w:hAnsi="宋体"/>
          <w:szCs w:val="21"/>
        </w:rPr>
        <w:t>和采购人具有同等法律效力。</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《成交通知书》将作为授予合同资格的合法依据，是合同的一个组成部分。</w:t>
      </w:r>
    </w:p>
    <w:p>
      <w:pPr>
        <w:numPr>
          <w:ilvl w:val="1"/>
          <w:numId w:val="41"/>
        </w:numPr>
        <w:autoSpaceDE w:val="0"/>
        <w:autoSpaceDN w:val="0"/>
        <w:adjustRightInd w:val="0"/>
        <w:snapToGrid w:val="0"/>
        <w:spacing w:line="360" w:lineRule="auto"/>
        <w:jc w:val="left"/>
        <w:rPr>
          <w:rFonts w:ascii="宋体" w:hAnsi="宋体"/>
          <w:szCs w:val="21"/>
        </w:rPr>
      </w:pPr>
      <w:r>
        <w:rPr>
          <w:rFonts w:hint="eastAsia" w:ascii="宋体" w:hAnsi="宋体"/>
          <w:szCs w:val="21"/>
        </w:rPr>
        <w:t>因不可抗力或自身原因不能履行政府采购合同的、不按要求与采购人签订政府采购合同、成交人放弃中标、中标资格被依法确认无效的，采购人可以与排位在成交人之后第一位的成交候选人签订政府采购合同，也可以重新开展政府采购活动。拒绝签订采购合同的成交供应商不得参加对该项目重新开展的采购活动。</w:t>
      </w:r>
    </w:p>
    <w:p>
      <w:pPr>
        <w:autoSpaceDE w:val="0"/>
        <w:autoSpaceDN w:val="0"/>
        <w:adjustRightInd w:val="0"/>
        <w:snapToGrid w:val="0"/>
        <w:spacing w:line="360" w:lineRule="auto"/>
        <w:ind w:left="567"/>
        <w:jc w:val="center"/>
        <w:rPr>
          <w:rFonts w:ascii="宋体" w:hAnsi="宋体"/>
          <w:szCs w:val="21"/>
        </w:rPr>
      </w:pPr>
      <w:r>
        <w:rPr>
          <w:rFonts w:hint="eastAsia" w:ascii="宋体" w:hAnsi="宋体"/>
          <w:b/>
          <w:sz w:val="28"/>
          <w:szCs w:val="28"/>
        </w:rPr>
        <w:t>七</w:t>
      </w:r>
      <w:r>
        <w:rPr>
          <w:rFonts w:hint="eastAsia" w:ascii="宋体" w:hAnsi="宋体"/>
          <w:b/>
          <w:sz w:val="28"/>
          <w:szCs w:val="28"/>
          <w:lang w:eastAsia="zh-TW"/>
        </w:rPr>
        <w:t>、询问、质疑、投诉</w:t>
      </w:r>
    </w:p>
    <w:p>
      <w:pPr>
        <w:numPr>
          <w:ilvl w:val="0"/>
          <w:numId w:val="41"/>
        </w:numPr>
        <w:autoSpaceDE w:val="0"/>
        <w:autoSpaceDN w:val="0"/>
        <w:adjustRightInd w:val="0"/>
        <w:snapToGrid w:val="0"/>
        <w:spacing w:line="360" w:lineRule="auto"/>
        <w:ind w:left="449" w:hanging="449" w:hangingChars="213"/>
        <w:rPr>
          <w:rFonts w:ascii="宋体" w:hAnsi="宋体" w:cs="黑体"/>
          <w:b/>
          <w:bCs/>
          <w:szCs w:val="21"/>
        </w:rPr>
      </w:pPr>
      <w:r>
        <w:rPr>
          <w:rFonts w:hint="eastAsia" w:ascii="宋体" w:hAnsi="宋体" w:cs="黑体"/>
          <w:b/>
          <w:bCs/>
          <w:szCs w:val="21"/>
        </w:rPr>
        <w:t>询问</w:t>
      </w:r>
    </w:p>
    <w:p>
      <w:pPr>
        <w:numPr>
          <w:ilvl w:val="1"/>
          <w:numId w:val="41"/>
        </w:numPr>
        <w:autoSpaceDE w:val="0"/>
        <w:autoSpaceDN w:val="0"/>
        <w:adjustRightInd w:val="0"/>
        <w:snapToGrid w:val="0"/>
        <w:spacing w:line="360" w:lineRule="auto"/>
        <w:rPr>
          <w:rFonts w:ascii="宋体" w:hAnsi="宋体" w:cs="黑体"/>
          <w:b/>
          <w:bCs/>
          <w:szCs w:val="21"/>
        </w:rPr>
      </w:pPr>
      <w:r>
        <w:rPr>
          <w:rFonts w:hint="eastAsia" w:ascii="宋体" w:hAnsi="宋体" w:cs="黑体"/>
          <w:bCs/>
          <w:szCs w:val="21"/>
        </w:rPr>
        <w:t>供应商对政府采购活动事项有疑问的，可以向采购人提出询问，询问可以口头方式提出，也可以书面方式提出。</w:t>
      </w:r>
    </w:p>
    <w:p>
      <w:pPr>
        <w:numPr>
          <w:ilvl w:val="1"/>
          <w:numId w:val="41"/>
        </w:numPr>
        <w:autoSpaceDE w:val="0"/>
        <w:autoSpaceDN w:val="0"/>
        <w:adjustRightInd w:val="0"/>
        <w:snapToGrid w:val="0"/>
        <w:spacing w:line="360" w:lineRule="auto"/>
        <w:rPr>
          <w:rFonts w:ascii="宋体" w:hAnsi="宋体" w:cs="黑体"/>
          <w:b/>
          <w:bCs/>
          <w:szCs w:val="21"/>
        </w:rPr>
      </w:pPr>
      <w:r>
        <w:rPr>
          <w:rFonts w:hint="eastAsia" w:ascii="宋体" w:hAnsi="宋体" w:cs="黑体"/>
          <w:bCs/>
          <w:szCs w:val="21"/>
        </w:rPr>
        <w:t>如采用书面方式提出询问，供应商为自然人的，询问函应当由本人签字；供应商为法人或者其他组织的，应当由法定代表人、主要负责人或授权代表签字或者盖章，并加盖公章。响应供应商递交询问函时非法定代表人亲自办理的需提供法定代表人授权委托书（应载明授权代表的姓名或者名称、代理事项、具体权限、期限和相关事项）及授权代表身份证复印件。</w:t>
      </w:r>
    </w:p>
    <w:p>
      <w:pPr>
        <w:numPr>
          <w:ilvl w:val="1"/>
          <w:numId w:val="41"/>
        </w:numPr>
        <w:autoSpaceDE w:val="0"/>
        <w:autoSpaceDN w:val="0"/>
        <w:adjustRightInd w:val="0"/>
        <w:snapToGrid w:val="0"/>
        <w:spacing w:line="360" w:lineRule="auto"/>
        <w:rPr>
          <w:rFonts w:ascii="宋体" w:hAnsi="宋体" w:cs="黑体"/>
          <w:b/>
          <w:bCs/>
          <w:szCs w:val="21"/>
        </w:rPr>
      </w:pPr>
      <w:r>
        <w:rPr>
          <w:rFonts w:hint="eastAsia" w:ascii="宋体" w:hAnsi="宋体" w:cs="黑体"/>
          <w:bCs/>
          <w:szCs w:val="21"/>
        </w:rPr>
        <w:t>采购人在三个工作日内对供应商依法提出的询问作出答复。</w:t>
      </w:r>
    </w:p>
    <w:p>
      <w:pPr>
        <w:numPr>
          <w:ilvl w:val="0"/>
          <w:numId w:val="41"/>
        </w:numPr>
        <w:autoSpaceDE w:val="0"/>
        <w:autoSpaceDN w:val="0"/>
        <w:adjustRightInd w:val="0"/>
        <w:snapToGrid w:val="0"/>
        <w:spacing w:line="360" w:lineRule="auto"/>
        <w:ind w:left="449" w:hanging="449" w:hangingChars="213"/>
        <w:rPr>
          <w:rFonts w:ascii="宋体" w:hAnsi="宋体" w:cs="黑体"/>
          <w:b/>
          <w:bCs/>
          <w:szCs w:val="21"/>
        </w:rPr>
      </w:pPr>
      <w:r>
        <w:rPr>
          <w:rFonts w:hint="eastAsia" w:ascii="宋体" w:hAnsi="宋体" w:cs="黑体"/>
          <w:b/>
          <w:bCs/>
          <w:szCs w:val="21"/>
        </w:rPr>
        <w:t>质疑</w:t>
      </w:r>
    </w:p>
    <w:p>
      <w:pPr>
        <w:numPr>
          <w:ilvl w:val="1"/>
          <w:numId w:val="41"/>
        </w:numPr>
        <w:autoSpaceDE w:val="0"/>
        <w:autoSpaceDN w:val="0"/>
        <w:adjustRightInd w:val="0"/>
        <w:snapToGrid w:val="0"/>
        <w:spacing w:line="360" w:lineRule="auto"/>
        <w:rPr>
          <w:rFonts w:ascii="宋体" w:hAnsi="宋体" w:cs="黑体"/>
          <w:b/>
          <w:bCs/>
          <w:szCs w:val="21"/>
        </w:rPr>
      </w:pPr>
      <w:r>
        <w:rPr>
          <w:rFonts w:hint="eastAsia" w:ascii="宋体" w:hAnsi="宋体" w:cs="黑体"/>
          <w:bCs/>
          <w:szCs w:val="21"/>
        </w:rPr>
        <w:t>质疑期限：</w:t>
      </w:r>
    </w:p>
    <w:p>
      <w:pPr>
        <w:numPr>
          <w:ilvl w:val="2"/>
          <w:numId w:val="41"/>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采购文件的内容</w:t>
      </w:r>
      <w:r>
        <w:rPr>
          <w:rFonts w:hint="eastAsia" w:ascii="宋体" w:hAnsi="宋体" w:cs="黑体"/>
          <w:bCs/>
          <w:szCs w:val="21"/>
        </w:rPr>
        <w:t>损害其权益的，应在收到采购文件之日或者采购文件公告期届满之日起七个工作日内。（注：供应商购买采购文件之日早于采购文件公告期限届满之日的，则以供应商购买采购文件之日为质疑时效期间的起算日期；否则，以采购文件公告期限届满之日为质疑时效期间的起算日期）</w:t>
      </w:r>
    </w:p>
    <w:p>
      <w:pPr>
        <w:numPr>
          <w:ilvl w:val="2"/>
          <w:numId w:val="41"/>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采购过程</w:t>
      </w:r>
      <w:r>
        <w:rPr>
          <w:rFonts w:hint="eastAsia" w:ascii="宋体" w:hAnsi="宋体" w:cs="黑体"/>
          <w:bCs/>
          <w:szCs w:val="21"/>
        </w:rPr>
        <w:t>损害其权益的，应在各采购程序环节结束之日起七个工作日内。</w:t>
      </w:r>
    </w:p>
    <w:p>
      <w:pPr>
        <w:numPr>
          <w:ilvl w:val="2"/>
          <w:numId w:val="41"/>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中标或者成交结果</w:t>
      </w:r>
      <w:r>
        <w:rPr>
          <w:rFonts w:hint="eastAsia" w:ascii="宋体" w:hAnsi="宋体" w:cs="黑体"/>
          <w:bCs/>
          <w:szCs w:val="21"/>
        </w:rPr>
        <w:t>损害其权益的，应在中标或者成交结果公告期限届满之日起七个工作日内。</w:t>
      </w:r>
    </w:p>
    <w:p>
      <w:pPr>
        <w:numPr>
          <w:ilvl w:val="1"/>
          <w:numId w:val="41"/>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提交要求：</w:t>
      </w:r>
    </w:p>
    <w:p>
      <w:pPr>
        <w:numPr>
          <w:ilvl w:val="2"/>
          <w:numId w:val="41"/>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以书面形式向采购人或者采购代理机构</w:t>
      </w:r>
      <w:r>
        <w:rPr>
          <w:rFonts w:hint="eastAsia" w:ascii="宋体" w:hAnsi="宋体" w:cs="宋体"/>
          <w:szCs w:val="21"/>
        </w:rPr>
        <w:t>一次性提出针对同一采购程序环节的</w:t>
      </w:r>
      <w:r>
        <w:rPr>
          <w:rFonts w:hint="eastAsia" w:ascii="宋体" w:hAnsi="宋体" w:cs="黑体"/>
          <w:bCs/>
          <w:szCs w:val="21"/>
        </w:rPr>
        <w:t>质疑。</w:t>
      </w:r>
    </w:p>
    <w:p>
      <w:pPr>
        <w:numPr>
          <w:ilvl w:val="2"/>
          <w:numId w:val="41"/>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以联合体形式参加政府采购活动的，其质疑应当由组成联合体的所有供应商共同提出。</w:t>
      </w:r>
    </w:p>
    <w:p>
      <w:pPr>
        <w:numPr>
          <w:ilvl w:val="2"/>
          <w:numId w:val="41"/>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pPr>
        <w:numPr>
          <w:ilvl w:val="2"/>
          <w:numId w:val="41"/>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供应商捏造事实、提供虚假材料或者以非法手段取得证明材料不能作为质疑的证明材料。</w:t>
      </w:r>
    </w:p>
    <w:p>
      <w:pPr>
        <w:numPr>
          <w:ilvl w:val="2"/>
          <w:numId w:val="41"/>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采购人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1"/>
          <w:numId w:val="41"/>
        </w:numPr>
        <w:autoSpaceDE w:val="0"/>
        <w:autoSpaceDN w:val="0"/>
        <w:adjustRightInd w:val="0"/>
        <w:snapToGrid w:val="0"/>
        <w:spacing w:line="360" w:lineRule="auto"/>
        <w:rPr>
          <w:rFonts w:ascii="宋体" w:hAnsi="宋体" w:cs="黑体"/>
          <w:b/>
          <w:bCs/>
          <w:szCs w:val="21"/>
        </w:rPr>
      </w:pPr>
      <w:r>
        <w:rPr>
          <w:rFonts w:hint="eastAsia" w:hAnsi="宋体"/>
          <w:snapToGrid w:val="0"/>
          <w:szCs w:val="21"/>
        </w:rPr>
        <w:t>采购人或采购代理机构接收以书面形式递交的质疑函，接收质疑函的联系人、联系方式和通讯地址详见2.3</w:t>
      </w:r>
      <w:r>
        <w:rPr>
          <w:rFonts w:hint="eastAsia" w:ascii="宋体" w:hAnsi="宋体"/>
          <w:szCs w:val="21"/>
        </w:rPr>
        <w:t>。</w:t>
      </w:r>
    </w:p>
    <w:p>
      <w:pPr>
        <w:numPr>
          <w:ilvl w:val="0"/>
          <w:numId w:val="41"/>
        </w:numPr>
        <w:autoSpaceDE w:val="0"/>
        <w:autoSpaceDN w:val="0"/>
        <w:adjustRightInd w:val="0"/>
        <w:snapToGrid w:val="0"/>
        <w:spacing w:line="360" w:lineRule="auto"/>
        <w:ind w:left="449" w:hanging="449" w:hangingChars="213"/>
        <w:rPr>
          <w:rFonts w:ascii="宋体" w:hAnsi="宋体" w:cs="黑体"/>
          <w:b/>
          <w:bCs/>
          <w:szCs w:val="21"/>
        </w:rPr>
      </w:pPr>
      <w:r>
        <w:rPr>
          <w:rFonts w:hint="eastAsia" w:ascii="宋体" w:hAnsi="宋体"/>
          <w:b/>
          <w:szCs w:val="21"/>
        </w:rPr>
        <w:t>投诉</w:t>
      </w:r>
    </w:p>
    <w:p>
      <w:pPr>
        <w:numPr>
          <w:ilvl w:val="1"/>
          <w:numId w:val="41"/>
        </w:numPr>
        <w:autoSpaceDE w:val="0"/>
        <w:autoSpaceDN w:val="0"/>
        <w:adjustRightInd w:val="0"/>
        <w:snapToGrid w:val="0"/>
        <w:spacing w:line="360" w:lineRule="auto"/>
        <w:rPr>
          <w:rFonts w:ascii="宋体" w:hAnsi="宋体" w:cs="黑体"/>
          <w:b/>
          <w:bCs/>
          <w:szCs w:val="21"/>
        </w:rPr>
      </w:pPr>
      <w:r>
        <w:rPr>
          <w:rFonts w:hint="eastAsia" w:ascii="宋体" w:hAnsi="宋体"/>
          <w:szCs w:val="21"/>
        </w:rPr>
        <w:t>质疑供应商对采购人的质疑答复不满意，或采购人未在规定期限内作出答复的，可以在答复期满后十五个工作日内向同级监管部门提出投诉。</w:t>
      </w:r>
    </w:p>
    <w:p>
      <w:pPr>
        <w:snapToGrid w:val="0"/>
        <w:spacing w:line="360" w:lineRule="auto"/>
        <w:jc w:val="center"/>
        <w:rPr>
          <w:rFonts w:ascii="宋体" w:hAnsi="宋体"/>
          <w:b/>
          <w:sz w:val="28"/>
          <w:szCs w:val="28"/>
          <w:lang w:eastAsia="zh-TW"/>
        </w:rPr>
      </w:pPr>
      <w:bookmarkStart w:id="59" w:name="_Toc502738629"/>
      <w:r>
        <w:rPr>
          <w:rFonts w:hint="eastAsia" w:ascii="宋体" w:hAnsi="宋体"/>
          <w:b/>
          <w:sz w:val="28"/>
          <w:szCs w:val="28"/>
        </w:rPr>
        <w:t>八</w:t>
      </w:r>
      <w:r>
        <w:rPr>
          <w:rFonts w:hint="eastAsia" w:ascii="宋体" w:hAnsi="宋体"/>
          <w:b/>
          <w:sz w:val="28"/>
          <w:szCs w:val="28"/>
          <w:lang w:eastAsia="zh-TW"/>
        </w:rPr>
        <w:t>、合同</w:t>
      </w:r>
      <w:bookmarkEnd w:id="59"/>
      <w:r>
        <w:rPr>
          <w:rFonts w:hint="eastAsia" w:ascii="宋体" w:hAnsi="宋体"/>
          <w:b/>
          <w:sz w:val="28"/>
          <w:szCs w:val="28"/>
        </w:rPr>
        <w:t>的订立及履行</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合同的订立</w:t>
      </w:r>
    </w:p>
    <w:p>
      <w:pPr>
        <w:numPr>
          <w:ilvl w:val="1"/>
          <w:numId w:val="41"/>
        </w:numPr>
        <w:autoSpaceDE w:val="0"/>
        <w:autoSpaceDN w:val="0"/>
        <w:adjustRightInd w:val="0"/>
        <w:snapToGrid w:val="0"/>
        <w:spacing w:line="360" w:lineRule="auto"/>
        <w:jc w:val="left"/>
        <w:rPr>
          <w:rFonts w:ascii="宋体" w:hAnsi="宋体"/>
          <w:sz w:val="24"/>
        </w:rPr>
      </w:pPr>
      <w:r>
        <w:rPr>
          <w:rFonts w:hint="eastAsia" w:ascii="宋体" w:hAnsi="宋体" w:cs="宋体"/>
          <w:szCs w:val="21"/>
        </w:rPr>
        <w:t>除非</w:t>
      </w:r>
      <w:r>
        <w:rPr>
          <w:rFonts w:hint="eastAsia" w:ascii="宋体" w:hAnsi="宋体" w:cs="宋体"/>
          <w:b/>
          <w:szCs w:val="21"/>
        </w:rPr>
        <w:t>谈判资料表</w:t>
      </w:r>
      <w:r>
        <w:rPr>
          <w:rFonts w:hint="eastAsia" w:ascii="宋体" w:hAnsi="宋体" w:cs="宋体"/>
          <w:szCs w:val="21"/>
        </w:rPr>
        <w:t>另有规定，</w:t>
      </w:r>
      <w:r>
        <w:rPr>
          <w:rFonts w:hint="eastAsia" w:ascii="宋体" w:hAnsi="宋体" w:cs="宋体"/>
          <w:szCs w:val="21"/>
          <w:lang w:eastAsia="zh-TW"/>
        </w:rPr>
        <w:t>采购人</w:t>
      </w:r>
      <w:r>
        <w:rPr>
          <w:rFonts w:hint="eastAsia" w:ascii="宋体" w:hAnsi="宋体" w:cs="宋体"/>
          <w:szCs w:val="21"/>
        </w:rPr>
        <w:t>应当</w:t>
      </w:r>
      <w:r>
        <w:rPr>
          <w:rFonts w:hint="eastAsia" w:ascii="宋体" w:hAnsi="宋体" w:cs="宋体"/>
          <w:szCs w:val="21"/>
          <w:lang w:eastAsia="zh-TW"/>
        </w:rPr>
        <w:t>自成交通知书发出之日起三十日内，按</w:t>
      </w:r>
      <w:r>
        <w:rPr>
          <w:rFonts w:hint="eastAsia" w:ascii="宋体" w:hAnsi="宋体" w:cs="宋体"/>
          <w:szCs w:val="21"/>
        </w:rPr>
        <w:t>照</w:t>
      </w:r>
      <w:r>
        <w:rPr>
          <w:rFonts w:hint="eastAsia" w:ascii="宋体" w:hAnsi="宋体" w:cs="宋体"/>
          <w:szCs w:val="21"/>
          <w:lang w:eastAsia="zh-TW"/>
        </w:rPr>
        <w:t>谈判文件要求和成交供应商响应文件承诺签订政府采购合同</w:t>
      </w:r>
      <w:r>
        <w:rPr>
          <w:rFonts w:hint="eastAsia" w:ascii="宋体" w:hAnsi="宋体" w:cs="宋体"/>
          <w:szCs w:val="21"/>
        </w:rPr>
        <w:t>。</w:t>
      </w:r>
    </w:p>
    <w:p>
      <w:pPr>
        <w:numPr>
          <w:ilvl w:val="1"/>
          <w:numId w:val="41"/>
        </w:numPr>
        <w:autoSpaceDE w:val="0"/>
        <w:autoSpaceDN w:val="0"/>
        <w:adjustRightInd w:val="0"/>
        <w:snapToGrid w:val="0"/>
        <w:spacing w:line="360" w:lineRule="auto"/>
        <w:rPr>
          <w:rFonts w:ascii="宋体" w:hAnsi="宋体" w:cs="宋体"/>
          <w:lang w:eastAsia="zh-TW"/>
        </w:rPr>
      </w:pPr>
      <w:r>
        <w:rPr>
          <w:rFonts w:hint="eastAsia" w:ascii="宋体" w:hAnsi="宋体" w:cs="宋体"/>
          <w:lang w:eastAsia="zh-TW"/>
        </w:rPr>
        <w:t>成交供应商拒绝签订政府采购合同的，采购人可以按照按照评标报告推荐的</w:t>
      </w:r>
      <w:r>
        <w:rPr>
          <w:rFonts w:hint="eastAsia" w:ascii="宋体" w:hAnsi="宋体" w:cs="宋体"/>
        </w:rPr>
        <w:t>成交</w:t>
      </w:r>
      <w:r>
        <w:rPr>
          <w:rFonts w:hint="eastAsia" w:ascii="宋体" w:hAnsi="宋体" w:cs="宋体"/>
          <w:lang w:eastAsia="zh-TW"/>
        </w:rPr>
        <w:t>候选人名单排序</w:t>
      </w:r>
      <w:r>
        <w:rPr>
          <w:rFonts w:hint="eastAsia" w:ascii="宋体" w:hAnsi="宋体" w:cs="宋体"/>
        </w:rPr>
        <w:t>，</w:t>
      </w:r>
      <w:r>
        <w:rPr>
          <w:rFonts w:hint="eastAsia" w:ascii="宋体" w:hAnsi="宋体" w:cs="宋体"/>
          <w:lang w:eastAsia="zh-TW"/>
        </w:rPr>
        <w:t>确定</w:t>
      </w:r>
      <w:r>
        <w:rPr>
          <w:rFonts w:hint="eastAsia" w:ascii="宋体" w:hAnsi="宋体" w:cs="宋体"/>
        </w:rPr>
        <w:t>下一候选人</w:t>
      </w:r>
      <w:r>
        <w:rPr>
          <w:rFonts w:hint="eastAsia" w:ascii="宋体" w:hAnsi="宋体" w:cs="宋体"/>
          <w:lang w:eastAsia="zh-TW"/>
        </w:rPr>
        <w:t>作为成交供应商并签订政府采购合同，也可以重新开展采购活动。拒绝签订政府采购合同的成交供应商不得参加对该项目重新开展的采购活动</w:t>
      </w:r>
      <w:r>
        <w:rPr>
          <w:rFonts w:hint="eastAsia" w:ascii="宋体" w:hAnsi="宋体" w:cs="宋体"/>
        </w:rPr>
        <w:t>。</w:t>
      </w:r>
    </w:p>
    <w:p>
      <w:pPr>
        <w:numPr>
          <w:ilvl w:val="1"/>
          <w:numId w:val="41"/>
        </w:numPr>
        <w:autoSpaceDE w:val="0"/>
        <w:autoSpaceDN w:val="0"/>
        <w:adjustRightInd w:val="0"/>
        <w:snapToGrid w:val="0"/>
        <w:spacing w:line="360" w:lineRule="auto"/>
        <w:rPr>
          <w:rFonts w:ascii="宋体" w:hAnsi="宋体" w:cs="宋体"/>
          <w:strike/>
          <w:lang w:eastAsia="zh-TW"/>
        </w:rPr>
      </w:pPr>
      <w:r>
        <w:rPr>
          <w:rFonts w:hint="eastAsia" w:ascii="宋体" w:hAnsi="宋体"/>
        </w:rPr>
        <w:t>成交人被依法认定成交无效的，合格供应商符合法定数量时，采购人依法从合格的成交候选人中另行确定成交供应商，否则重新组织采购活动</w:t>
      </w:r>
    </w:p>
    <w:p>
      <w:pPr>
        <w:numPr>
          <w:ilvl w:val="1"/>
          <w:numId w:val="41"/>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合同的履行</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政府采购合同履行中，采购人需追加与合同标的相同的货物、工程或者服务的，在不改变合同其他条款的前提下，可以与响应供应商签订补充合同，但所补充合同的采购金额不得超过原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履约保证金</w:t>
      </w:r>
    </w:p>
    <w:p>
      <w:pPr>
        <w:numPr>
          <w:ilvl w:val="1"/>
          <w:numId w:val="41"/>
        </w:numPr>
        <w:autoSpaceDE w:val="0"/>
        <w:autoSpaceDN w:val="0"/>
        <w:adjustRightInd w:val="0"/>
        <w:snapToGrid w:val="0"/>
        <w:spacing w:line="360" w:lineRule="auto"/>
        <w:rPr>
          <w:rFonts w:ascii="宋体" w:hAnsi="宋体"/>
          <w:b/>
          <w:bCs/>
          <w:szCs w:val="21"/>
        </w:rPr>
      </w:pPr>
      <w:r>
        <w:rPr>
          <w:rFonts w:hint="eastAsia" w:ascii="宋体" w:hAnsi="宋体" w:cs="宋体"/>
          <w:szCs w:val="21"/>
          <w:lang w:eastAsia="zh-TW"/>
        </w:rPr>
        <w:t>成交供应商应按照谈判文件中</w:t>
      </w:r>
      <w:r>
        <w:rPr>
          <w:rFonts w:hint="eastAsia" w:ascii="宋体" w:hAnsi="宋体" w:cs="宋体"/>
          <w:szCs w:val="21"/>
        </w:rPr>
        <w:t>规定的金额及</w:t>
      </w:r>
      <w:r>
        <w:rPr>
          <w:rFonts w:hint="eastAsia" w:ascii="宋体" w:hAnsi="宋体" w:cs="宋体"/>
          <w:szCs w:val="21"/>
          <w:lang w:eastAsia="zh-TW"/>
        </w:rPr>
        <w:t>提供</w:t>
      </w:r>
      <w:r>
        <w:rPr>
          <w:rFonts w:hint="eastAsia" w:ascii="宋体" w:hAnsi="宋体" w:cs="宋体"/>
          <w:szCs w:val="21"/>
        </w:rPr>
        <w:t>的</w:t>
      </w:r>
      <w:r>
        <w:rPr>
          <w:rFonts w:hint="eastAsia" w:ascii="宋体" w:hAnsi="宋体" w:cs="宋体"/>
          <w:szCs w:val="21"/>
          <w:lang w:eastAsia="zh-TW"/>
        </w:rPr>
        <w:t>形式向采购人提交履约保证金。</w:t>
      </w:r>
    </w:p>
    <w:p>
      <w:pPr>
        <w:numPr>
          <w:ilvl w:val="0"/>
          <w:numId w:val="41"/>
        </w:numPr>
        <w:autoSpaceDE w:val="0"/>
        <w:autoSpaceDN w:val="0"/>
        <w:adjustRightInd w:val="0"/>
        <w:snapToGrid w:val="0"/>
        <w:spacing w:line="360" w:lineRule="auto"/>
        <w:ind w:left="449" w:hanging="449" w:hangingChars="213"/>
        <w:rPr>
          <w:rFonts w:ascii="宋体" w:hAnsi="宋体"/>
          <w:b/>
          <w:bCs/>
          <w:szCs w:val="21"/>
        </w:rPr>
      </w:pPr>
      <w:r>
        <w:rPr>
          <w:rFonts w:hint="eastAsia" w:ascii="宋体" w:hAnsi="宋体"/>
          <w:b/>
          <w:bCs/>
          <w:szCs w:val="21"/>
        </w:rPr>
        <w:t>特别说明</w:t>
      </w:r>
    </w:p>
    <w:p>
      <w:pPr>
        <w:numPr>
          <w:ilvl w:val="1"/>
          <w:numId w:val="41"/>
        </w:numPr>
        <w:adjustRightInd w:val="0"/>
        <w:snapToGrid w:val="0"/>
        <w:spacing w:line="360" w:lineRule="auto"/>
        <w:rPr>
          <w:rFonts w:ascii="宋体" w:hAnsi="宋体" w:cs="宋体"/>
          <w:szCs w:val="21"/>
        </w:rPr>
      </w:pPr>
      <w:r>
        <w:rPr>
          <w:rFonts w:hint="eastAsia" w:ascii="宋体" w:hAnsi="宋体" w:cs="宋体"/>
          <w:szCs w:val="21"/>
        </w:rPr>
        <w:t>有下列情形之一的，视为响应供应商串通投标，其响应无效：</w:t>
      </w:r>
    </w:p>
    <w:p>
      <w:pPr>
        <w:numPr>
          <w:ilvl w:val="2"/>
          <w:numId w:val="41"/>
        </w:numPr>
        <w:adjustRightInd w:val="0"/>
        <w:snapToGrid w:val="0"/>
        <w:spacing w:line="360" w:lineRule="auto"/>
        <w:rPr>
          <w:rFonts w:ascii="宋体" w:hAnsi="宋体" w:cs="宋体"/>
          <w:szCs w:val="21"/>
        </w:rPr>
      </w:pPr>
      <w:r>
        <w:rPr>
          <w:rFonts w:hint="eastAsia" w:ascii="宋体" w:hAnsi="宋体" w:cs="宋体"/>
          <w:szCs w:val="21"/>
        </w:rPr>
        <w:t>不同响应供应商的响应文件由同一单位或者个人编制；</w:t>
      </w:r>
    </w:p>
    <w:p>
      <w:pPr>
        <w:numPr>
          <w:ilvl w:val="2"/>
          <w:numId w:val="41"/>
        </w:numPr>
        <w:adjustRightInd w:val="0"/>
        <w:snapToGrid w:val="0"/>
        <w:spacing w:line="360" w:lineRule="auto"/>
        <w:rPr>
          <w:rFonts w:ascii="宋体" w:hAnsi="宋体" w:cs="宋体"/>
          <w:szCs w:val="21"/>
        </w:rPr>
      </w:pPr>
      <w:r>
        <w:rPr>
          <w:rFonts w:hint="eastAsia" w:ascii="宋体" w:hAnsi="宋体" w:cs="宋体"/>
          <w:szCs w:val="21"/>
        </w:rPr>
        <w:t>不同响应供应商委托同一单位或者个人办理投标事宜；</w:t>
      </w:r>
    </w:p>
    <w:p>
      <w:pPr>
        <w:numPr>
          <w:ilvl w:val="2"/>
          <w:numId w:val="41"/>
        </w:numPr>
        <w:adjustRightInd w:val="0"/>
        <w:snapToGrid w:val="0"/>
        <w:spacing w:line="360" w:lineRule="auto"/>
        <w:rPr>
          <w:rFonts w:ascii="宋体" w:hAnsi="宋体" w:cs="宋体"/>
          <w:szCs w:val="21"/>
        </w:rPr>
      </w:pPr>
      <w:r>
        <w:rPr>
          <w:rFonts w:hint="eastAsia" w:ascii="宋体" w:hAnsi="宋体" w:cs="宋体"/>
          <w:szCs w:val="21"/>
        </w:rPr>
        <w:t>不同响应供应商的响应文件载明的项目管理成员或者联系人员为同一人；</w:t>
      </w:r>
    </w:p>
    <w:p>
      <w:pPr>
        <w:numPr>
          <w:ilvl w:val="2"/>
          <w:numId w:val="41"/>
        </w:numPr>
        <w:adjustRightInd w:val="0"/>
        <w:snapToGrid w:val="0"/>
        <w:spacing w:line="360" w:lineRule="auto"/>
        <w:rPr>
          <w:rFonts w:ascii="宋体" w:hAnsi="宋体" w:cs="宋体"/>
          <w:szCs w:val="21"/>
        </w:rPr>
      </w:pPr>
      <w:r>
        <w:rPr>
          <w:rFonts w:hint="eastAsia" w:ascii="宋体" w:hAnsi="宋体" w:cs="宋体"/>
          <w:szCs w:val="21"/>
        </w:rPr>
        <w:t>不同响应供应商的响应文件异常一致或者投标报价呈规律性差异；</w:t>
      </w:r>
    </w:p>
    <w:p>
      <w:pPr>
        <w:numPr>
          <w:ilvl w:val="2"/>
          <w:numId w:val="41"/>
        </w:numPr>
        <w:adjustRightInd w:val="0"/>
        <w:snapToGrid w:val="0"/>
        <w:spacing w:line="360" w:lineRule="auto"/>
        <w:rPr>
          <w:rFonts w:ascii="宋体" w:hAnsi="宋体" w:cs="宋体"/>
          <w:szCs w:val="21"/>
        </w:rPr>
      </w:pPr>
      <w:r>
        <w:rPr>
          <w:rFonts w:hint="eastAsia" w:ascii="宋体" w:hAnsi="宋体" w:cs="宋体"/>
          <w:szCs w:val="21"/>
        </w:rPr>
        <w:t>不同响应供应商的响应文件相互混装；</w:t>
      </w:r>
    </w:p>
    <w:p>
      <w:pPr>
        <w:numPr>
          <w:ilvl w:val="2"/>
          <w:numId w:val="41"/>
        </w:numPr>
        <w:adjustRightInd w:val="0"/>
        <w:snapToGrid w:val="0"/>
        <w:spacing w:line="360" w:lineRule="auto"/>
        <w:rPr>
          <w:rFonts w:ascii="宋体" w:hAnsi="宋体" w:cs="宋体"/>
          <w:szCs w:val="21"/>
        </w:rPr>
      </w:pPr>
      <w:r>
        <w:rPr>
          <w:rFonts w:hint="eastAsia" w:ascii="宋体" w:hAnsi="宋体" w:cs="宋体"/>
          <w:szCs w:val="21"/>
        </w:rPr>
        <w:t>不同响应供应商的谈判保证金从同一单位或者个人的账户转出。</w:t>
      </w:r>
    </w:p>
    <w:p>
      <w:pPr>
        <w:autoSpaceDE w:val="0"/>
        <w:autoSpaceDN w:val="0"/>
        <w:adjustRightInd w:val="0"/>
        <w:snapToGrid w:val="0"/>
        <w:spacing w:line="360" w:lineRule="auto"/>
        <w:jc w:val="left"/>
        <w:rPr>
          <w:rFonts w:ascii="宋体" w:hAnsi="宋体"/>
          <w:b/>
          <w:bCs/>
          <w:szCs w:val="21"/>
        </w:rPr>
      </w:pPr>
      <w:r>
        <w:rPr>
          <w:rFonts w:hint="eastAsia" w:ascii="宋体" w:hAnsi="宋体"/>
          <w:b/>
          <w:bCs/>
          <w:szCs w:val="21"/>
        </w:rPr>
        <w:t>附件：询问函、质疑函格式</w:t>
      </w:r>
    </w:p>
    <w:p>
      <w:pPr>
        <w:snapToGrid w:val="0"/>
        <w:spacing w:line="360" w:lineRule="auto"/>
        <w:ind w:firstLine="424" w:firstLineChars="201"/>
        <w:rPr>
          <w:rFonts w:ascii="宋体" w:hAnsi="宋体" w:cs="宋体"/>
          <w:szCs w:val="21"/>
        </w:rPr>
      </w:pPr>
      <w:r>
        <w:rPr>
          <w:rFonts w:hint="eastAsia" w:ascii="宋体" w:hAnsi="宋体"/>
          <w:b/>
          <w:szCs w:val="21"/>
        </w:rPr>
        <w:t>说明：本部分格式为响应供应商提交询问函、质疑函时使用，不属于响应文件格式的组成部分。</w:t>
      </w:r>
    </w:p>
    <w:p>
      <w:pPr>
        <w:pStyle w:val="27"/>
        <w:snapToGrid w:val="0"/>
        <w:spacing w:before="0" w:beforeAutospacing="0" w:after="0" w:afterAutospacing="0" w:line="360" w:lineRule="auto"/>
        <w:jc w:val="both"/>
        <w:rPr>
          <w:sz w:val="21"/>
          <w:szCs w:val="21"/>
        </w:rPr>
      </w:pPr>
      <w:r>
        <w:rPr>
          <w:sz w:val="21"/>
          <w:szCs w:val="21"/>
        </w:rPr>
        <w:br w:type="page"/>
      </w:r>
      <w:r>
        <w:rPr>
          <w:rFonts w:hint="eastAsia"/>
          <w:sz w:val="21"/>
          <w:szCs w:val="21"/>
        </w:rPr>
        <w:t>1：询问函格式</w:t>
      </w:r>
    </w:p>
    <w:p>
      <w:pPr>
        <w:pStyle w:val="27"/>
        <w:spacing w:before="0" w:beforeAutospacing="0" w:after="0" w:afterAutospacing="0" w:line="360" w:lineRule="auto"/>
        <w:jc w:val="center"/>
        <w:rPr>
          <w:rStyle w:val="33"/>
          <w:sz w:val="21"/>
          <w:szCs w:val="21"/>
        </w:rPr>
      </w:pPr>
      <w:r>
        <w:rPr>
          <w:rStyle w:val="33"/>
          <w:rFonts w:hint="eastAsia"/>
          <w:sz w:val="21"/>
          <w:szCs w:val="21"/>
        </w:rPr>
        <w:t>询问函</w:t>
      </w:r>
    </w:p>
    <w:p>
      <w:pPr>
        <w:widowControl/>
        <w:tabs>
          <w:tab w:val="left" w:pos="6300"/>
        </w:tabs>
        <w:snapToGrid w:val="0"/>
        <w:spacing w:line="360" w:lineRule="auto"/>
        <w:rPr>
          <w:rFonts w:ascii="宋体" w:hAnsi="宋体"/>
          <w:szCs w:val="21"/>
        </w:rPr>
      </w:pPr>
      <w:r>
        <w:rPr>
          <w:rFonts w:hint="eastAsia" w:ascii="宋体" w:hAnsi="宋体"/>
          <w:b/>
          <w:szCs w:val="21"/>
        </w:rPr>
        <w:t>广东采联采购科技有限公司/（采购人单位名称）</w:t>
      </w: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i/>
          <w:szCs w:val="21"/>
          <w:u w:val="single"/>
        </w:rPr>
        <w:t>国家税务总局深圳市罗湖区税务局税收征管表格印制项目</w:t>
      </w:r>
      <w:r>
        <w:rPr>
          <w:rFonts w:hint="eastAsia" w:ascii="宋体" w:hAnsi="宋体"/>
          <w:szCs w:val="21"/>
        </w:rPr>
        <w:t>（项目采购编号：）的投标（或报价）活动，现有以下几个内容（或条款）存在疑问（或无法理解），特提出询问。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1260" w:firstLineChars="6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1260" w:firstLineChars="600"/>
        <w:rPr>
          <w:rFonts w:ascii="宋体" w:hAnsi="宋体"/>
          <w:szCs w:val="21"/>
        </w:rPr>
      </w:pPr>
      <w:r>
        <w:rPr>
          <w:rFonts w:hint="eastAsia" w:ascii="宋体" w:hAnsi="宋体"/>
          <w:szCs w:val="21"/>
        </w:rPr>
        <w:t>法定代表人（授权代表）：</w:t>
      </w:r>
    </w:p>
    <w:p>
      <w:pPr>
        <w:tabs>
          <w:tab w:val="left" w:pos="6300"/>
        </w:tabs>
        <w:snapToGrid w:val="0"/>
        <w:spacing w:line="360" w:lineRule="auto"/>
        <w:ind w:firstLine="1260" w:firstLineChars="600"/>
        <w:rPr>
          <w:rFonts w:ascii="宋体" w:hAnsi="宋体"/>
          <w:szCs w:val="21"/>
        </w:rPr>
      </w:pPr>
      <w:r>
        <w:rPr>
          <w:rFonts w:hint="eastAsia" w:ascii="宋体" w:hAnsi="宋体"/>
          <w:szCs w:val="21"/>
        </w:rPr>
        <w:t>地址/邮编：</w:t>
      </w:r>
    </w:p>
    <w:p>
      <w:pPr>
        <w:tabs>
          <w:tab w:val="left" w:pos="6300"/>
        </w:tabs>
        <w:snapToGrid w:val="0"/>
        <w:spacing w:line="360" w:lineRule="auto"/>
        <w:ind w:firstLine="1260" w:firstLineChars="600"/>
        <w:rPr>
          <w:rFonts w:ascii="宋体" w:hAnsi="宋体"/>
          <w:szCs w:val="21"/>
        </w:rPr>
      </w:pPr>
      <w:r>
        <w:rPr>
          <w:rFonts w:hint="eastAsia" w:ascii="宋体" w:hAnsi="宋体"/>
          <w:szCs w:val="21"/>
        </w:rPr>
        <w:t>电话/传真：</w:t>
      </w:r>
    </w:p>
    <w:p>
      <w:pPr>
        <w:spacing w:line="360" w:lineRule="auto"/>
        <w:jc w:val="right"/>
        <w:rPr>
          <w:rFonts w:ascii="宋体" w:hAnsi="宋体"/>
          <w:szCs w:val="21"/>
        </w:rPr>
      </w:pPr>
      <w:r>
        <w:rPr>
          <w:rFonts w:hint="eastAsia" w:ascii="宋体" w:hAnsi="宋体"/>
          <w:szCs w:val="21"/>
        </w:rPr>
        <w:t>年月日</w:t>
      </w:r>
    </w:p>
    <w:p>
      <w:pPr>
        <w:snapToGrid w:val="0"/>
        <w:spacing w:line="360" w:lineRule="auto"/>
        <w:ind w:firstLine="378" w:firstLineChars="180"/>
        <w:rPr>
          <w:rFonts w:ascii="宋体" w:hAnsi="宋体"/>
          <w:szCs w:val="21"/>
        </w:rPr>
      </w:pPr>
    </w:p>
    <w:p>
      <w:pPr>
        <w:pStyle w:val="27"/>
        <w:adjustRightInd w:val="0"/>
        <w:snapToGrid w:val="0"/>
        <w:spacing w:before="0" w:beforeAutospacing="0" w:after="0" w:afterAutospacing="0" w:line="360" w:lineRule="auto"/>
        <w:jc w:val="both"/>
        <w:rPr>
          <w:sz w:val="21"/>
          <w:szCs w:val="21"/>
        </w:rPr>
      </w:pPr>
      <w:r>
        <w:rPr>
          <w:sz w:val="21"/>
          <w:szCs w:val="21"/>
        </w:rPr>
        <w:br w:type="page"/>
      </w:r>
      <w:r>
        <w:rPr>
          <w:rFonts w:hint="eastAsia"/>
          <w:sz w:val="21"/>
          <w:szCs w:val="21"/>
        </w:rPr>
        <w:t>2：质疑函格式</w:t>
      </w:r>
    </w:p>
    <w:p>
      <w:pPr>
        <w:jc w:val="center"/>
        <w:rPr>
          <w:rFonts w:ascii="宋体" w:hAnsi="宋体" w:cs="仿宋"/>
          <w:b/>
          <w:bCs/>
          <w:szCs w:val="21"/>
        </w:rPr>
      </w:pPr>
      <w:r>
        <w:rPr>
          <w:rFonts w:hint="eastAsia" w:ascii="宋体" w:hAnsi="宋体" w:cs="仿宋"/>
          <w:b/>
          <w:bCs/>
          <w:szCs w:val="21"/>
        </w:rPr>
        <w:t>质疑函范本</w:t>
      </w:r>
    </w:p>
    <w:p>
      <w:pPr>
        <w:adjustRightInd w:val="0"/>
        <w:snapToGrid w:val="0"/>
        <w:spacing w:beforeLines="100" w:line="360" w:lineRule="auto"/>
        <w:rPr>
          <w:rFonts w:ascii="宋体" w:hAnsi="宋体" w:cs="仿宋"/>
          <w:bCs/>
          <w:szCs w:val="21"/>
        </w:rPr>
      </w:pPr>
      <w:r>
        <w:rPr>
          <w:rFonts w:hint="eastAsia" w:ascii="宋体" w:hAnsi="宋体" w:cs="仿宋"/>
          <w:bCs/>
          <w:szCs w:val="21"/>
        </w:rPr>
        <w:t>一、质疑供应商基本信息</w:t>
      </w:r>
    </w:p>
    <w:p>
      <w:pPr>
        <w:adjustRightInd w:val="0"/>
        <w:snapToGrid w:val="0"/>
        <w:spacing w:line="360" w:lineRule="auto"/>
        <w:rPr>
          <w:rFonts w:ascii="宋体" w:hAnsi="宋体" w:cs="仿宋"/>
          <w:szCs w:val="21"/>
          <w:u w:val="dotted"/>
        </w:rPr>
      </w:pPr>
      <w:r>
        <w:rPr>
          <w:rFonts w:hint="eastAsia" w:ascii="宋体" w:hAnsi="宋体" w:cs="仿宋"/>
          <w:szCs w:val="21"/>
        </w:rPr>
        <w:t>质疑供应商：</w:t>
      </w:r>
    </w:p>
    <w:p>
      <w:pPr>
        <w:adjustRightInd w:val="0"/>
        <w:snapToGrid w:val="0"/>
        <w:spacing w:line="360" w:lineRule="auto"/>
        <w:rPr>
          <w:rFonts w:ascii="宋体" w:hAnsi="宋体" w:cs="仿宋"/>
          <w:szCs w:val="21"/>
        </w:rPr>
      </w:pPr>
      <w:r>
        <w:rPr>
          <w:rFonts w:hint="eastAsia" w:ascii="宋体" w:hAnsi="宋体" w:cs="仿宋"/>
          <w:szCs w:val="21"/>
        </w:rPr>
        <w:t>地址：邮编：</w:t>
      </w:r>
    </w:p>
    <w:p>
      <w:pPr>
        <w:adjustRightInd w:val="0"/>
        <w:snapToGrid w:val="0"/>
        <w:spacing w:line="360" w:lineRule="auto"/>
        <w:rPr>
          <w:rFonts w:ascii="宋体" w:hAnsi="宋体" w:cs="仿宋"/>
          <w:szCs w:val="21"/>
        </w:rPr>
      </w:pPr>
      <w:r>
        <w:rPr>
          <w:rFonts w:hint="eastAsia" w:ascii="宋体" w:hAnsi="宋体" w:cs="仿宋"/>
          <w:szCs w:val="21"/>
        </w:rPr>
        <w:t>联系人：联系电话：</w:t>
      </w:r>
    </w:p>
    <w:p>
      <w:pPr>
        <w:adjustRightInd w:val="0"/>
        <w:snapToGrid w:val="0"/>
        <w:spacing w:line="360" w:lineRule="auto"/>
        <w:rPr>
          <w:rFonts w:ascii="宋体" w:hAnsi="宋体" w:cs="仿宋"/>
          <w:szCs w:val="21"/>
          <w:u w:val="dotted"/>
        </w:rPr>
      </w:pPr>
      <w:r>
        <w:rPr>
          <w:rFonts w:hint="eastAsia" w:ascii="宋体" w:hAnsi="宋体" w:cs="仿宋"/>
          <w:szCs w:val="21"/>
        </w:rPr>
        <w:t>授权代表：</w:t>
      </w:r>
    </w:p>
    <w:p>
      <w:pPr>
        <w:adjustRightInd w:val="0"/>
        <w:snapToGrid w:val="0"/>
        <w:spacing w:line="360" w:lineRule="auto"/>
        <w:rPr>
          <w:rFonts w:ascii="宋体" w:hAnsi="宋体" w:cs="仿宋"/>
          <w:szCs w:val="21"/>
        </w:rPr>
      </w:pPr>
      <w:r>
        <w:rPr>
          <w:rFonts w:hint="eastAsia" w:ascii="宋体" w:hAnsi="宋体" w:cs="仿宋"/>
          <w:szCs w:val="21"/>
        </w:rPr>
        <w:t>联系电话：</w:t>
      </w:r>
    </w:p>
    <w:p>
      <w:pPr>
        <w:adjustRightInd w:val="0"/>
        <w:snapToGrid w:val="0"/>
        <w:spacing w:line="360" w:lineRule="auto"/>
        <w:rPr>
          <w:rFonts w:ascii="宋体" w:hAnsi="宋体" w:cs="仿宋"/>
          <w:szCs w:val="21"/>
        </w:rPr>
      </w:pPr>
      <w:r>
        <w:rPr>
          <w:rFonts w:hint="eastAsia" w:ascii="宋体" w:hAnsi="宋体" w:cs="仿宋"/>
          <w:szCs w:val="21"/>
        </w:rPr>
        <w:t>地址：邮编：</w:t>
      </w:r>
    </w:p>
    <w:p>
      <w:pPr>
        <w:adjustRightInd w:val="0"/>
        <w:snapToGrid w:val="0"/>
        <w:spacing w:line="360" w:lineRule="auto"/>
        <w:rPr>
          <w:rFonts w:ascii="宋体" w:hAnsi="宋体" w:cs="仿宋"/>
          <w:bCs/>
          <w:szCs w:val="21"/>
        </w:rPr>
      </w:pPr>
      <w:r>
        <w:rPr>
          <w:rFonts w:hint="eastAsia" w:ascii="宋体" w:hAnsi="宋体" w:cs="仿宋"/>
          <w:bCs/>
          <w:szCs w:val="21"/>
        </w:rPr>
        <w:t>二、质疑项目基本情况</w:t>
      </w:r>
    </w:p>
    <w:p>
      <w:pPr>
        <w:adjustRightInd w:val="0"/>
        <w:snapToGrid w:val="0"/>
        <w:spacing w:line="360" w:lineRule="auto"/>
        <w:rPr>
          <w:rFonts w:ascii="宋体" w:hAnsi="宋体" w:cs="仿宋"/>
          <w:szCs w:val="21"/>
        </w:rPr>
      </w:pPr>
      <w:r>
        <w:rPr>
          <w:rFonts w:hint="eastAsia" w:ascii="宋体" w:hAnsi="宋体" w:cs="仿宋"/>
          <w:szCs w:val="21"/>
        </w:rPr>
        <w:t>质疑项目的名称：</w:t>
      </w:r>
    </w:p>
    <w:p>
      <w:pPr>
        <w:adjustRightInd w:val="0"/>
        <w:snapToGrid w:val="0"/>
        <w:spacing w:line="360" w:lineRule="auto"/>
        <w:rPr>
          <w:rFonts w:ascii="宋体" w:hAnsi="宋体" w:cs="仿宋"/>
          <w:szCs w:val="21"/>
        </w:rPr>
      </w:pPr>
      <w:r>
        <w:rPr>
          <w:rFonts w:hint="eastAsia" w:ascii="宋体" w:hAnsi="宋体" w:cs="仿宋"/>
          <w:szCs w:val="21"/>
        </w:rPr>
        <w:t>质疑项目的编号：包号：</w:t>
      </w:r>
    </w:p>
    <w:p>
      <w:pPr>
        <w:adjustRightInd w:val="0"/>
        <w:snapToGrid w:val="0"/>
        <w:spacing w:line="360" w:lineRule="auto"/>
        <w:rPr>
          <w:rFonts w:ascii="宋体" w:hAnsi="宋体" w:cs="仿宋"/>
          <w:szCs w:val="21"/>
          <w:u w:val="single"/>
        </w:rPr>
      </w:pPr>
      <w:r>
        <w:rPr>
          <w:rFonts w:hint="eastAsia" w:ascii="宋体" w:hAnsi="宋体" w:cs="仿宋"/>
          <w:szCs w:val="21"/>
        </w:rPr>
        <w:t>采购人名称：</w:t>
      </w:r>
    </w:p>
    <w:p>
      <w:pPr>
        <w:adjustRightInd w:val="0"/>
        <w:snapToGrid w:val="0"/>
        <w:spacing w:line="360" w:lineRule="auto"/>
        <w:rPr>
          <w:rFonts w:ascii="宋体" w:hAnsi="宋体" w:cs="仿宋"/>
          <w:szCs w:val="21"/>
          <w:u w:val="single"/>
        </w:rPr>
      </w:pPr>
      <w:r>
        <w:rPr>
          <w:rFonts w:hint="eastAsia" w:ascii="宋体" w:hAnsi="宋体" w:cs="仿宋"/>
          <w:szCs w:val="21"/>
        </w:rPr>
        <w:t>采购文件获取日期：</w:t>
      </w:r>
    </w:p>
    <w:p>
      <w:pPr>
        <w:adjustRightInd w:val="0"/>
        <w:snapToGrid w:val="0"/>
        <w:spacing w:line="360" w:lineRule="auto"/>
        <w:rPr>
          <w:rFonts w:ascii="宋体" w:hAnsi="宋体" w:cs="仿宋"/>
          <w:bCs/>
          <w:szCs w:val="21"/>
        </w:rPr>
      </w:pPr>
      <w:r>
        <w:rPr>
          <w:rFonts w:hint="eastAsia" w:ascii="宋体" w:hAnsi="宋体" w:cs="仿宋"/>
          <w:bCs/>
          <w:szCs w:val="21"/>
        </w:rPr>
        <w:t>三、质疑事项具体内容</w:t>
      </w:r>
    </w:p>
    <w:p>
      <w:pPr>
        <w:adjustRightInd w:val="0"/>
        <w:snapToGrid w:val="0"/>
        <w:spacing w:line="360" w:lineRule="auto"/>
        <w:rPr>
          <w:rFonts w:ascii="宋体" w:hAnsi="宋体" w:cs="仿宋"/>
          <w:szCs w:val="21"/>
          <w:u w:val="single"/>
        </w:rPr>
      </w:pPr>
      <w:r>
        <w:rPr>
          <w:rFonts w:hint="eastAsia" w:ascii="宋体" w:hAnsi="宋体" w:cs="仿宋"/>
          <w:szCs w:val="21"/>
        </w:rPr>
        <w:t>质疑事项1：</w:t>
      </w:r>
    </w:p>
    <w:p>
      <w:pPr>
        <w:adjustRightInd w:val="0"/>
        <w:snapToGrid w:val="0"/>
        <w:spacing w:line="360" w:lineRule="auto"/>
        <w:rPr>
          <w:rFonts w:ascii="宋体" w:hAnsi="宋体" w:cs="仿宋"/>
          <w:szCs w:val="21"/>
          <w:u w:val="single"/>
        </w:rPr>
      </w:pPr>
      <w:r>
        <w:rPr>
          <w:rFonts w:hint="eastAsia" w:ascii="宋体" w:hAnsi="宋体" w:cs="仿宋"/>
          <w:szCs w:val="21"/>
        </w:rPr>
        <w:t>事实依据：</w:t>
      </w:r>
    </w:p>
    <w:p>
      <w:pPr>
        <w:adjustRightInd w:val="0"/>
        <w:snapToGrid w:val="0"/>
        <w:spacing w:line="360" w:lineRule="auto"/>
        <w:rPr>
          <w:rFonts w:ascii="宋体" w:hAnsi="宋体" w:cs="仿宋"/>
          <w:szCs w:val="21"/>
          <w:u w:val="single"/>
        </w:rPr>
      </w:pPr>
    </w:p>
    <w:p>
      <w:pPr>
        <w:adjustRightInd w:val="0"/>
        <w:snapToGrid w:val="0"/>
        <w:spacing w:line="360" w:lineRule="auto"/>
        <w:rPr>
          <w:rFonts w:ascii="宋体" w:hAnsi="宋体" w:cs="仿宋"/>
          <w:szCs w:val="21"/>
          <w:u w:val="single"/>
        </w:rPr>
      </w:pPr>
      <w:r>
        <w:rPr>
          <w:rFonts w:hint="eastAsia" w:ascii="宋体" w:hAnsi="宋体" w:cs="仿宋"/>
          <w:szCs w:val="21"/>
        </w:rPr>
        <w:t>法律依据：</w:t>
      </w:r>
    </w:p>
    <w:p>
      <w:pPr>
        <w:adjustRightInd w:val="0"/>
        <w:snapToGrid w:val="0"/>
        <w:spacing w:line="360" w:lineRule="auto"/>
        <w:rPr>
          <w:rFonts w:ascii="宋体" w:hAnsi="宋体" w:cs="仿宋"/>
          <w:szCs w:val="21"/>
          <w:u w:val="single"/>
        </w:rPr>
      </w:pPr>
    </w:p>
    <w:p>
      <w:pPr>
        <w:adjustRightInd w:val="0"/>
        <w:snapToGrid w:val="0"/>
        <w:spacing w:line="360" w:lineRule="auto"/>
        <w:rPr>
          <w:rFonts w:ascii="宋体" w:hAnsi="宋体" w:cs="仿宋"/>
          <w:szCs w:val="21"/>
          <w:u w:val="dotted"/>
        </w:rPr>
      </w:pPr>
      <w:r>
        <w:rPr>
          <w:rFonts w:hint="eastAsia" w:ascii="宋体" w:hAnsi="宋体" w:cs="仿宋"/>
          <w:szCs w:val="21"/>
        </w:rPr>
        <w:t>质疑事项2</w:t>
      </w:r>
    </w:p>
    <w:p>
      <w:pPr>
        <w:adjustRightInd w:val="0"/>
        <w:snapToGrid w:val="0"/>
        <w:spacing w:line="360" w:lineRule="auto"/>
        <w:rPr>
          <w:rFonts w:ascii="宋体" w:hAnsi="宋体" w:cs="仿宋"/>
          <w:szCs w:val="21"/>
        </w:rPr>
      </w:pPr>
      <w:r>
        <w:rPr>
          <w:rFonts w:hint="eastAsia" w:ascii="宋体" w:hAnsi="宋体" w:cs="仿宋"/>
          <w:szCs w:val="21"/>
        </w:rPr>
        <w:t>……</w:t>
      </w:r>
    </w:p>
    <w:p>
      <w:pPr>
        <w:adjustRightInd w:val="0"/>
        <w:snapToGrid w:val="0"/>
        <w:spacing w:line="360" w:lineRule="auto"/>
        <w:rPr>
          <w:rFonts w:ascii="宋体" w:hAnsi="宋体" w:cs="仿宋"/>
          <w:bCs/>
          <w:szCs w:val="21"/>
        </w:rPr>
      </w:pPr>
      <w:r>
        <w:rPr>
          <w:rFonts w:hint="eastAsia" w:ascii="宋体" w:hAnsi="宋体" w:cs="仿宋"/>
          <w:bCs/>
          <w:szCs w:val="21"/>
        </w:rPr>
        <w:t>四、与质疑事项相关的质疑请求</w:t>
      </w:r>
    </w:p>
    <w:p>
      <w:pPr>
        <w:adjustRightInd w:val="0"/>
        <w:snapToGrid w:val="0"/>
        <w:spacing w:line="360" w:lineRule="auto"/>
        <w:rPr>
          <w:rFonts w:ascii="宋体" w:hAnsi="宋体" w:cs="仿宋"/>
          <w:szCs w:val="21"/>
          <w:u w:val="dotted"/>
        </w:rPr>
      </w:pPr>
      <w:r>
        <w:rPr>
          <w:rFonts w:hint="eastAsia" w:ascii="宋体" w:hAnsi="宋体" w:cs="仿宋"/>
          <w:szCs w:val="21"/>
        </w:rPr>
        <w:t>请求：</w:t>
      </w:r>
    </w:p>
    <w:p>
      <w:pPr>
        <w:spacing w:line="360" w:lineRule="auto"/>
        <w:rPr>
          <w:rFonts w:ascii="宋体" w:hAnsi="宋体"/>
          <w:szCs w:val="21"/>
        </w:rPr>
      </w:pPr>
      <w:r>
        <w:rPr>
          <w:rFonts w:hint="eastAsia" w:ascii="宋体" w:hAnsi="宋体"/>
          <w:szCs w:val="21"/>
        </w:rPr>
        <w:t xml:space="preserve">签字(签章)：                   公章：                      </w:t>
      </w:r>
    </w:p>
    <w:p>
      <w:pPr>
        <w:spacing w:line="360" w:lineRule="auto"/>
        <w:rPr>
          <w:rFonts w:ascii="宋体" w:hAnsi="宋体"/>
          <w:szCs w:val="21"/>
        </w:rPr>
      </w:pPr>
      <w:r>
        <w:rPr>
          <w:rFonts w:hint="eastAsia" w:ascii="宋体" w:hAnsi="宋体"/>
          <w:szCs w:val="21"/>
        </w:rPr>
        <w:t xml:space="preserve">日期：    </w:t>
      </w:r>
    </w:p>
    <w:p>
      <w:pPr>
        <w:adjustRightInd w:val="0"/>
        <w:snapToGrid w:val="0"/>
        <w:spacing w:line="360" w:lineRule="auto"/>
        <w:rPr>
          <w:rFonts w:ascii="宋体" w:hAnsi="宋体" w:cs="仿宋"/>
          <w:szCs w:val="21"/>
        </w:rPr>
      </w:pPr>
      <w:r>
        <w:rPr>
          <w:rFonts w:hint="eastAsia" w:ascii="宋体" w:hAnsi="宋体" w:cs="仿宋"/>
          <w:szCs w:val="21"/>
        </w:rPr>
        <w:t>附件：</w:t>
      </w:r>
    </w:p>
    <w:tbl>
      <w:tblPr>
        <w:tblStyle w:val="30"/>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7"/>
        <w:gridCol w:w="2761"/>
        <w:gridCol w:w="2247"/>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ascii="宋体" w:hAnsi="宋体" w:cs="仿宋"/>
                <w:szCs w:val="21"/>
              </w:rPr>
              <w:t>序号</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hAnsi="宋体"/>
                <w:szCs w:val="21"/>
              </w:rPr>
              <w:t>证明材料</w:t>
            </w:r>
            <w:r>
              <w:rPr>
                <w:rFonts w:hint="eastAsia" w:ascii="宋体" w:hAnsi="宋体" w:cs="仿宋"/>
                <w:szCs w:val="21"/>
              </w:rPr>
              <w:t>名称</w:t>
            </w: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hAnsi="宋体"/>
                <w:szCs w:val="21"/>
              </w:rPr>
              <w:t>证明材料</w:t>
            </w:r>
            <w:r>
              <w:rPr>
                <w:rFonts w:hint="eastAsia" w:ascii="宋体" w:hAnsi="宋体" w:cs="仿宋"/>
                <w:szCs w:val="21"/>
              </w:rPr>
              <w:t>来源</w:t>
            </w: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ascii="宋体" w:hAnsi="宋体" w:cs="仿宋"/>
                <w:szCs w:val="21"/>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r>
              <w:rPr>
                <w:rFonts w:ascii="宋体" w:hAnsi="宋体" w:cs="仿宋"/>
                <w:szCs w:val="21"/>
              </w:rPr>
              <w:t xml:space="preserve">1 </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r>
              <w:rPr>
                <w:rFonts w:ascii="宋体" w:hAnsi="宋体" w:cs="仿宋"/>
                <w:szCs w:val="21"/>
              </w:rPr>
              <w:t xml:space="preserve">2 </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ascii="宋体" w:hAnsi="宋体" w:cs="仿宋"/>
                <w:szCs w:val="21"/>
              </w:rPr>
              <w:t>……</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Cs w:val="21"/>
              </w:rPr>
            </w:pPr>
          </w:p>
        </w:tc>
      </w:tr>
    </w:tbl>
    <w:p>
      <w:pPr>
        <w:adjustRightInd w:val="0"/>
        <w:snapToGrid w:val="0"/>
        <w:spacing w:line="360" w:lineRule="auto"/>
        <w:rPr>
          <w:rFonts w:ascii="宋体" w:hAnsi="宋体" w:cs="仿宋"/>
          <w:szCs w:val="21"/>
        </w:rPr>
      </w:pPr>
    </w:p>
    <w:p>
      <w:pPr>
        <w:adjustRightInd w:val="0"/>
        <w:snapToGrid w:val="0"/>
        <w:spacing w:line="360" w:lineRule="auto"/>
        <w:rPr>
          <w:rFonts w:ascii="宋体" w:hAnsi="宋体" w:cs="仿宋"/>
          <w:szCs w:val="21"/>
        </w:rPr>
      </w:pPr>
    </w:p>
    <w:p>
      <w:pPr>
        <w:spacing w:line="360" w:lineRule="auto"/>
        <w:rPr>
          <w:rFonts w:ascii="宋体" w:hAnsi="宋体"/>
          <w:b/>
          <w:szCs w:val="21"/>
        </w:rPr>
      </w:pPr>
      <w:r>
        <w:rPr>
          <w:rFonts w:hint="eastAsia" w:ascii="宋体" w:hAnsi="宋体"/>
          <w:b/>
          <w:szCs w:val="21"/>
        </w:rPr>
        <w:t>质疑函制作说明：</w:t>
      </w:r>
    </w:p>
    <w:p>
      <w:pPr>
        <w:widowControl/>
        <w:spacing w:line="360" w:lineRule="auto"/>
        <w:ind w:firstLine="420" w:firstLineChars="200"/>
        <w:jc w:val="left"/>
        <w:rPr>
          <w:rFonts w:ascii="宋体" w:hAnsi="宋体"/>
          <w:szCs w:val="21"/>
        </w:rPr>
      </w:pPr>
      <w:r>
        <w:rPr>
          <w:rFonts w:hint="eastAsia" w:ascii="宋体" w:hAnsi="宋体"/>
          <w:szCs w:val="21"/>
        </w:rPr>
        <w:t>1.供应商提出质疑时，应提交质疑函和必要的证明材料。</w:t>
      </w:r>
    </w:p>
    <w:p>
      <w:pPr>
        <w:widowControl/>
        <w:spacing w:line="360" w:lineRule="auto"/>
        <w:ind w:firstLine="420" w:firstLineChars="200"/>
        <w:jc w:val="left"/>
        <w:rPr>
          <w:rFonts w:ascii="宋体" w:hAnsi="宋体"/>
          <w:szCs w:val="21"/>
        </w:rPr>
      </w:pPr>
      <w:r>
        <w:rPr>
          <w:rFonts w:hint="eastAsia" w:ascii="宋体" w:hAnsi="宋体"/>
          <w:szCs w:val="21"/>
        </w:rPr>
        <w:t>2.质疑供应商若委托代理人进行质疑的，质疑函应按要求列明“授权代表”的有关内容，并在附件中提交由质疑</w:t>
      </w:r>
      <w:r>
        <w:rPr>
          <w:rFonts w:hint="eastAsia" w:ascii="宋体" w:hAnsi="宋体" w:cs="宋体"/>
          <w:kern w:val="0"/>
          <w:szCs w:val="21"/>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szCs w:val="21"/>
        </w:rPr>
      </w:pPr>
      <w:r>
        <w:rPr>
          <w:rFonts w:hint="eastAsia" w:ascii="宋体" w:hAnsi="宋体"/>
          <w:szCs w:val="21"/>
        </w:rPr>
        <w:t>3.质疑供应商若对项目的某一分包进行质疑，质疑函中应列明具体分包号。</w:t>
      </w:r>
    </w:p>
    <w:p>
      <w:pPr>
        <w:widowControl/>
        <w:spacing w:line="360" w:lineRule="auto"/>
        <w:ind w:firstLine="420" w:firstLineChars="200"/>
        <w:jc w:val="left"/>
        <w:rPr>
          <w:rFonts w:ascii="宋体" w:hAnsi="宋体"/>
          <w:szCs w:val="21"/>
        </w:rPr>
      </w:pPr>
      <w:r>
        <w:rPr>
          <w:rFonts w:hint="eastAsia" w:ascii="宋体" w:hAnsi="宋体"/>
          <w:szCs w:val="21"/>
        </w:rPr>
        <w:t>4.质疑函的质疑事项应具体、明确，并有必要的事实依据和法律依据。</w:t>
      </w:r>
    </w:p>
    <w:p>
      <w:pPr>
        <w:widowControl/>
        <w:spacing w:line="360" w:lineRule="auto"/>
        <w:ind w:firstLine="420" w:firstLineChars="200"/>
        <w:jc w:val="left"/>
        <w:rPr>
          <w:rFonts w:ascii="宋体" w:hAnsi="宋体"/>
          <w:szCs w:val="21"/>
        </w:rPr>
      </w:pPr>
      <w:r>
        <w:rPr>
          <w:rFonts w:hint="eastAsia" w:ascii="宋体" w:hAnsi="宋体"/>
          <w:szCs w:val="21"/>
        </w:rPr>
        <w:t>5.质疑函的质疑请求应与质疑事项相关。</w:t>
      </w:r>
    </w:p>
    <w:p>
      <w:pPr>
        <w:ind w:firstLine="420" w:firstLineChars="200"/>
        <w:rPr>
          <w:rFonts w:ascii="宋体" w:hAnsi="宋体"/>
          <w:szCs w:val="21"/>
        </w:rPr>
      </w:pPr>
      <w:r>
        <w:rPr>
          <w:rFonts w:hint="eastAsia" w:ascii="宋体" w:hAnsi="宋体"/>
          <w:szCs w:val="21"/>
        </w:rPr>
        <w:t>6.质疑供应商为自然人的，质疑函应由本人签字；质疑供应商为法人或者其他组织的，质疑函应由法定代表人、主要负责人，或者其授权代表签字或者盖章，并加盖公章。</w:t>
      </w:r>
    </w:p>
    <w:p>
      <w:pPr>
        <w:ind w:left="422" w:leftChars="201"/>
        <w:rPr>
          <w:rFonts w:ascii="宋体" w:hAnsi="宋体"/>
          <w:b/>
          <w:bCs/>
          <w:sz w:val="44"/>
        </w:rPr>
      </w:pPr>
      <w:r>
        <w:rPr>
          <w:rFonts w:hint="eastAsia" w:ascii="宋体" w:hAnsi="宋体"/>
          <w:szCs w:val="21"/>
        </w:rPr>
        <w:t>7. 供应商应在提交的证明材料中对质疑点的内容作出相应的标识或以醒目的方式标明。</w:t>
      </w:r>
    </w:p>
    <w:p/>
    <w:sectPr>
      <w:pgSz w:w="11906" w:h="16838"/>
      <w:pgMar w:top="1134" w:right="1134" w:bottom="1134" w:left="1134" w:header="629" w:footer="63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http://www.chinapsp.cn/                         第</w:t>
    </w:r>
    <w:r>
      <w:rPr>
        <w:rStyle w:val="34"/>
      </w:rPr>
      <w:fldChar w:fldCharType="begin"/>
    </w:r>
    <w:r>
      <w:rPr>
        <w:rStyle w:val="34"/>
      </w:rPr>
      <w:instrText xml:space="preserve"> PAGE </w:instrText>
    </w:r>
    <w:r>
      <w:rPr>
        <w:rStyle w:val="34"/>
      </w:rPr>
      <w:fldChar w:fldCharType="separate"/>
    </w:r>
    <w:r>
      <w:rPr>
        <w:rStyle w:val="34"/>
      </w:rPr>
      <w:t>5</w:t>
    </w:r>
    <w:r>
      <w:rPr>
        <w:rStyle w:val="34"/>
      </w:rPr>
      <w:fldChar w:fldCharType="end"/>
    </w:r>
    <w:r>
      <w:rPr>
        <w:rFonts w:hint="eastAsia"/>
      </w:rPr>
      <w:t>页，共</w:t>
    </w:r>
    <w:r>
      <w:rPr>
        <w:rStyle w:val="34"/>
      </w:rPr>
      <w:fldChar w:fldCharType="begin"/>
    </w:r>
    <w:r>
      <w:rPr>
        <w:rStyle w:val="34"/>
      </w:rPr>
      <w:instrText xml:space="preserve"> NUMPAGES </w:instrText>
    </w:r>
    <w:r>
      <w:rPr>
        <w:rStyle w:val="34"/>
      </w:rPr>
      <w:fldChar w:fldCharType="separate"/>
    </w:r>
    <w:r>
      <w:rPr>
        <w:rStyle w:val="34"/>
      </w:rPr>
      <w:t>45</w:t>
    </w:r>
    <w:r>
      <w:rPr>
        <w:rStyle w:val="34"/>
      </w:rPr>
      <w:fldChar w:fldCharType="end"/>
    </w:r>
    <w:r>
      <w:rPr>
        <w:rFonts w:hint="eastAsia"/>
      </w:rPr>
      <w:t>页广东采联采购科技有限公司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http://www.chinapsp.cn/                           第</w:t>
    </w:r>
    <w:r>
      <w:rPr>
        <w:rStyle w:val="34"/>
      </w:rPr>
      <w:fldChar w:fldCharType="begin"/>
    </w:r>
    <w:r>
      <w:rPr>
        <w:rStyle w:val="34"/>
      </w:rPr>
      <w:instrText xml:space="preserve"> PAGE </w:instrText>
    </w:r>
    <w:r>
      <w:rPr>
        <w:rStyle w:val="34"/>
      </w:rPr>
      <w:fldChar w:fldCharType="separate"/>
    </w:r>
    <w:r>
      <w:rPr>
        <w:rStyle w:val="34"/>
      </w:rPr>
      <w:t>45</w:t>
    </w:r>
    <w:r>
      <w:rPr>
        <w:rStyle w:val="34"/>
      </w:rPr>
      <w:fldChar w:fldCharType="end"/>
    </w:r>
    <w:r>
      <w:rPr>
        <w:rStyle w:val="34"/>
        <w:rFonts w:hint="eastAsia"/>
      </w:rPr>
      <w:t>页，共</w:t>
    </w:r>
    <w:r>
      <w:rPr>
        <w:rStyle w:val="34"/>
      </w:rPr>
      <w:fldChar w:fldCharType="begin"/>
    </w:r>
    <w:r>
      <w:rPr>
        <w:rStyle w:val="34"/>
      </w:rPr>
      <w:instrText xml:space="preserve"> NUMPAGES </w:instrText>
    </w:r>
    <w:r>
      <w:rPr>
        <w:rStyle w:val="34"/>
      </w:rPr>
      <w:fldChar w:fldCharType="separate"/>
    </w:r>
    <w:r>
      <w:rPr>
        <w:rStyle w:val="34"/>
      </w:rPr>
      <w:t>45</w:t>
    </w:r>
    <w:r>
      <w:rPr>
        <w:rStyle w:val="34"/>
      </w:rPr>
      <w:fldChar w:fldCharType="end"/>
    </w:r>
    <w:r>
      <w:rPr>
        <w:rStyle w:val="34"/>
        <w:rFonts w:hint="eastAsia"/>
      </w:rPr>
      <w:t>页</w:t>
    </w:r>
    <w:r>
      <w:rPr>
        <w:rFonts w:hint="eastAsia"/>
      </w:rPr>
      <w:t>广东采联采购科技有限公司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rFonts w:ascii="宋体" w:hAnsi="宋体"/>
      </w:rPr>
    </w:pPr>
    <w:r>
      <w:rPr>
        <w:rFonts w:ascii="黑体" w:eastAsia="黑体"/>
        <w:sz w:val="24"/>
      </w:rPr>
      <w:drawing>
        <wp:inline distT="0" distB="0" distL="0" distR="0">
          <wp:extent cx="657225" cy="295275"/>
          <wp:effectExtent l="0" t="0" r="9525" b="9525"/>
          <wp:docPr id="12" name="图片 12" descr="新LOGO2018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新LOGO201808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295275"/>
                  </a:xfrm>
                  <a:prstGeom prst="rect">
                    <a:avLst/>
                  </a:prstGeom>
                  <a:noFill/>
                  <a:ln>
                    <a:noFill/>
                  </a:ln>
                </pic:spPr>
              </pic:pic>
            </a:graphicData>
          </a:graphic>
        </wp:inline>
      </w:drawing>
    </w:r>
    <w:r>
      <w:rPr>
        <w:rFonts w:hint="eastAsia" w:ascii="宋体" w:hAnsi="宋体"/>
      </w:rPr>
      <w:t xml:space="preserve"> ︱让︱您︱的︱选︱择︱更︱专︱业︱                           </w:t>
    </w:r>
    <w:r>
      <w:rPr>
        <w:rFonts w:hint="eastAsia" w:ascii="宋体" w:hAnsi="宋体"/>
        <w:bCs/>
        <w:szCs w:val="21"/>
      </w:rPr>
      <w:t>项目编号：</w:t>
    </w:r>
    <w:r>
      <w:rPr>
        <w:rFonts w:hint="eastAsia" w:ascii="宋体" w:hAnsi="宋体"/>
        <w:szCs w:val="21"/>
      </w:rPr>
      <w:t>CLF0119SZ14QY80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474DD2"/>
    <w:multiLevelType w:val="multilevel"/>
    <w:tmpl w:val="00474DD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5326E11"/>
    <w:multiLevelType w:val="multilevel"/>
    <w:tmpl w:val="05326E1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C275B4B"/>
    <w:multiLevelType w:val="multilevel"/>
    <w:tmpl w:val="0C275B4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FB7143A"/>
    <w:multiLevelType w:val="multilevel"/>
    <w:tmpl w:val="0FB7143A"/>
    <w:lvl w:ilvl="0" w:tentative="0">
      <w:start w:val="1"/>
      <w:numFmt w:val="chineseCountingThousand"/>
      <w:lvlText w:val="%1、"/>
      <w:lvlJc w:val="left"/>
      <w:pPr>
        <w:tabs>
          <w:tab w:val="left" w:pos="1200"/>
        </w:tabs>
        <w:ind w:left="1200" w:hanging="360"/>
      </w:pPr>
      <w:rPr>
        <w:rFonts w:hint="eastAsia"/>
        <w:b w:val="0"/>
        <w:color w:val="auto"/>
      </w:rPr>
    </w:lvl>
    <w:lvl w:ilvl="1" w:tentative="0">
      <w:start w:val="1"/>
      <w:numFmt w:val="decimal"/>
      <w:lvlText w:val="%2．"/>
      <w:lvlJc w:val="left"/>
      <w:pPr>
        <w:tabs>
          <w:tab w:val="left" w:pos="1620"/>
        </w:tabs>
        <w:ind w:left="1620" w:hanging="360"/>
      </w:pPr>
      <w:rPr>
        <w:rFonts w:hint="default" w:ascii="宋体" w:hAnsi="宋体" w:eastAsia="宋体" w:cs="Times New Roman"/>
      </w:rPr>
    </w:lvl>
    <w:lvl w:ilvl="2" w:tentative="0">
      <w:start w:val="1"/>
      <w:numFmt w:val="decimal"/>
      <w:lvlText w:val="%3."/>
      <w:lvlJc w:val="left"/>
      <w:pPr>
        <w:tabs>
          <w:tab w:val="left" w:pos="2040"/>
        </w:tabs>
        <w:ind w:left="2040" w:hanging="36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5">
    <w:nsid w:val="123645AF"/>
    <w:multiLevelType w:val="multilevel"/>
    <w:tmpl w:val="123645AF"/>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3C34E09"/>
    <w:multiLevelType w:val="multilevel"/>
    <w:tmpl w:val="13C34E0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3C604A"/>
    <w:multiLevelType w:val="singleLevel"/>
    <w:tmpl w:val="183C604A"/>
    <w:lvl w:ilvl="0" w:tentative="0">
      <w:start w:val="1"/>
      <w:numFmt w:val="japaneseCounting"/>
      <w:lvlText w:val="%1、"/>
      <w:lvlJc w:val="left"/>
      <w:pPr>
        <w:tabs>
          <w:tab w:val="left" w:pos="960"/>
        </w:tabs>
        <w:ind w:left="960" w:hanging="480"/>
      </w:pPr>
      <w:rPr>
        <w:rFonts w:hint="eastAsia"/>
      </w:rPr>
    </w:lvl>
  </w:abstractNum>
  <w:abstractNum w:abstractNumId="8">
    <w:nsid w:val="1E8A5320"/>
    <w:multiLevelType w:val="multilevel"/>
    <w:tmpl w:val="1E8A532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default" w:ascii="宋体" w:hAnsi="宋体" w:eastAsia="宋体" w:cs="Times New Roman"/>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4230DDC"/>
    <w:multiLevelType w:val="multilevel"/>
    <w:tmpl w:val="24230DDC"/>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b w:val="0"/>
        <w:strike w:val="0"/>
        <w:dstrike w:val="0"/>
        <w:sz w:val="21"/>
        <w:szCs w:val="21"/>
      </w:rPr>
    </w:lvl>
    <w:lvl w:ilvl="2" w:tentative="0">
      <w:start w:val="1"/>
      <w:numFmt w:val="decimal"/>
      <w:lvlText w:val="%1.%2.%3."/>
      <w:lvlJc w:val="left"/>
      <w:pPr>
        <w:tabs>
          <w:tab w:val="left" w:pos="567"/>
        </w:tabs>
        <w:ind w:left="567" w:hanging="567"/>
      </w:pPr>
      <w:rPr>
        <w:rFonts w:hint="eastAsia" w:ascii="宋体" w:hAnsi="宋体" w:eastAsia="宋体"/>
        <w:b w:val="0"/>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25AC778E"/>
    <w:multiLevelType w:val="multilevel"/>
    <w:tmpl w:val="25AC778E"/>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99D3853"/>
    <w:multiLevelType w:val="multilevel"/>
    <w:tmpl w:val="299D3853"/>
    <w:lvl w:ilvl="0" w:tentative="0">
      <w:start w:val="1"/>
      <w:numFmt w:val="decimal"/>
      <w:lvlText w:val="%1"/>
      <w:lvlJc w:val="left"/>
      <w:pPr>
        <w:tabs>
          <w:tab w:val="left" w:pos="540"/>
        </w:tabs>
        <w:ind w:left="540" w:hanging="360"/>
      </w:pPr>
      <w:rPr>
        <w:rFonts w:hint="default" w:ascii="宋体" w:hAnsi="宋体" w:eastAsia="宋体" w:cs="Times New Roman"/>
        <w:b w:val="0"/>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3">
    <w:nsid w:val="2A0954C7"/>
    <w:multiLevelType w:val="multilevel"/>
    <w:tmpl w:val="2A0954C7"/>
    <w:lvl w:ilvl="0" w:tentative="0">
      <w:start w:val="1"/>
      <w:numFmt w:val="decimal"/>
      <w:lvlText w:val="%1."/>
      <w:lvlJc w:val="left"/>
      <w:pPr>
        <w:tabs>
          <w:tab w:val="left" w:pos="420"/>
        </w:tabs>
        <w:ind w:left="420" w:hanging="420"/>
      </w:pPr>
      <w:rPr>
        <w:rFonts w:hint="eastAsia"/>
      </w:rPr>
    </w:lvl>
    <w:lvl w:ilvl="1" w:tentative="0">
      <w:start w:val="1"/>
      <w:numFmt w:val="japaneseCounting"/>
      <w:lvlText w:val="%2、"/>
      <w:lvlJc w:val="left"/>
      <w:pPr>
        <w:ind w:left="840" w:hanging="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F4D6AE9"/>
    <w:multiLevelType w:val="multilevel"/>
    <w:tmpl w:val="2F4D6AE9"/>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0F01D33"/>
    <w:multiLevelType w:val="multilevel"/>
    <w:tmpl w:val="30F01D33"/>
    <w:lvl w:ilvl="0" w:tentative="0">
      <w:start w:val="1"/>
      <w:numFmt w:val="decimal"/>
      <w:lvlText w:val="%1"/>
      <w:lvlJc w:val="center"/>
      <w:pPr>
        <w:tabs>
          <w:tab w:val="left" w:pos="142"/>
        </w:tabs>
        <w:ind w:left="142" w:firstLine="38"/>
      </w:pPr>
      <w:rPr>
        <w:rFonts w:hint="eastAsia"/>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5C1665D"/>
    <w:multiLevelType w:val="multilevel"/>
    <w:tmpl w:val="35C1665D"/>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3858365D"/>
    <w:multiLevelType w:val="multilevel"/>
    <w:tmpl w:val="3858365D"/>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48800F0F"/>
    <w:multiLevelType w:val="multilevel"/>
    <w:tmpl w:val="48800F0F"/>
    <w:lvl w:ilvl="0" w:tentative="0">
      <w:start w:val="1"/>
      <w:numFmt w:val="decimal"/>
      <w:pStyle w:val="71"/>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70"/>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360"/>
        </w:tabs>
        <w:ind w:left="360" w:hanging="360"/>
      </w:pPr>
      <w:rPr>
        <w:rFonts w:hint="default" w:ascii="宋体" w:hAnsi="宋体" w:eastAsia="宋体" w:cs="Times New Roman"/>
        <w:b w:val="0"/>
        <w:strike w:val="0"/>
      </w:rPr>
    </w:lvl>
    <w:lvl w:ilvl="2" w:tentative="0">
      <w:start w:val="1"/>
      <w:numFmt w:val="decimal"/>
      <w:lvlText w:val="%3."/>
      <w:lvlJc w:val="left"/>
      <w:pPr>
        <w:tabs>
          <w:tab w:val="left" w:pos="2040"/>
        </w:tabs>
        <w:ind w:left="2040" w:hanging="36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2">
    <w:nsid w:val="4B170510"/>
    <w:multiLevelType w:val="multilevel"/>
    <w:tmpl w:val="4B170510"/>
    <w:lvl w:ilvl="0" w:tentative="0">
      <w:start w:val="1"/>
      <w:numFmt w:val="decimal"/>
      <w:lvlText w:val="%1)"/>
      <w:lvlJc w:val="left"/>
      <w:pPr>
        <w:ind w:left="420" w:hanging="420"/>
      </w:pPr>
      <w:rPr>
        <w:rFonts w:ascii="宋体" w:hAnsi="宋体" w:eastAsia="宋体"/>
        <w:b/>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B6B1DC3"/>
    <w:multiLevelType w:val="multilevel"/>
    <w:tmpl w:val="4B6B1DC3"/>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780"/>
        </w:tabs>
        <w:ind w:left="780" w:hanging="360"/>
      </w:pPr>
      <w:rPr>
        <w:rFonts w:hint="default"/>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4D5C7504"/>
    <w:multiLevelType w:val="multilevel"/>
    <w:tmpl w:val="4D5C7504"/>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0675357"/>
    <w:multiLevelType w:val="multilevel"/>
    <w:tmpl w:val="50675357"/>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rPr>
        <w:rFonts w:ascii="宋体" w:hAnsi="宋体" w:eastAsia="宋体"/>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6">
    <w:nsid w:val="50BA2364"/>
    <w:multiLevelType w:val="multilevel"/>
    <w:tmpl w:val="50BA2364"/>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3CC08E8"/>
    <w:multiLevelType w:val="multilevel"/>
    <w:tmpl w:val="53CC08E8"/>
    <w:lvl w:ilvl="0" w:tentative="0">
      <w:start w:val="2"/>
      <w:numFmt w:val="chineseCountingThousand"/>
      <w:lvlText w:val="%1、"/>
      <w:lvlJc w:val="left"/>
      <w:pPr>
        <w:ind w:left="84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3DF6434"/>
    <w:multiLevelType w:val="multilevel"/>
    <w:tmpl w:val="53DF643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57714C59"/>
    <w:multiLevelType w:val="multilevel"/>
    <w:tmpl w:val="57714C5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84B6C0F"/>
    <w:multiLevelType w:val="multilevel"/>
    <w:tmpl w:val="584B6C0F"/>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FBA1BEB"/>
    <w:multiLevelType w:val="multilevel"/>
    <w:tmpl w:val="5FBA1BEB"/>
    <w:lvl w:ilvl="0" w:tentative="0">
      <w:start w:val="1"/>
      <w:numFmt w:val="decimal"/>
      <w:lvlText w:val="（%1）"/>
      <w:lvlJc w:val="left"/>
      <w:pPr>
        <w:ind w:left="1696" w:hanging="420"/>
      </w:pPr>
      <w:rPr>
        <w:rFonts w:hint="default"/>
        <w:color w:val="auto"/>
      </w:rPr>
    </w:lvl>
    <w:lvl w:ilvl="1" w:tentative="0">
      <w:start w:val="1"/>
      <w:numFmt w:val="lowerLetter"/>
      <w:lvlText w:val="%2)"/>
      <w:lvlJc w:val="left"/>
      <w:pPr>
        <w:ind w:left="2116" w:hanging="420"/>
      </w:pPr>
    </w:lvl>
    <w:lvl w:ilvl="2" w:tentative="0">
      <w:start w:val="1"/>
      <w:numFmt w:val="lowerRoman"/>
      <w:lvlText w:val="%3."/>
      <w:lvlJc w:val="right"/>
      <w:pPr>
        <w:ind w:left="2536" w:hanging="420"/>
      </w:pPr>
    </w:lvl>
    <w:lvl w:ilvl="3" w:tentative="0">
      <w:start w:val="1"/>
      <w:numFmt w:val="decimal"/>
      <w:lvlText w:val="%4."/>
      <w:lvlJc w:val="left"/>
      <w:pPr>
        <w:ind w:left="2956" w:hanging="420"/>
      </w:pPr>
    </w:lvl>
    <w:lvl w:ilvl="4" w:tentative="0">
      <w:start w:val="1"/>
      <w:numFmt w:val="lowerLetter"/>
      <w:lvlText w:val="%5)"/>
      <w:lvlJc w:val="left"/>
      <w:pPr>
        <w:ind w:left="3376" w:hanging="420"/>
      </w:pPr>
    </w:lvl>
    <w:lvl w:ilvl="5" w:tentative="0">
      <w:start w:val="1"/>
      <w:numFmt w:val="lowerRoman"/>
      <w:lvlText w:val="%6."/>
      <w:lvlJc w:val="right"/>
      <w:pPr>
        <w:ind w:left="3796" w:hanging="420"/>
      </w:pPr>
    </w:lvl>
    <w:lvl w:ilvl="6" w:tentative="0">
      <w:start w:val="1"/>
      <w:numFmt w:val="decimal"/>
      <w:lvlText w:val="%7."/>
      <w:lvlJc w:val="left"/>
      <w:pPr>
        <w:ind w:left="4216" w:hanging="420"/>
      </w:pPr>
    </w:lvl>
    <w:lvl w:ilvl="7" w:tentative="0">
      <w:start w:val="1"/>
      <w:numFmt w:val="lowerLetter"/>
      <w:lvlText w:val="%8)"/>
      <w:lvlJc w:val="left"/>
      <w:pPr>
        <w:ind w:left="4636" w:hanging="420"/>
      </w:pPr>
    </w:lvl>
    <w:lvl w:ilvl="8" w:tentative="0">
      <w:start w:val="1"/>
      <w:numFmt w:val="lowerRoman"/>
      <w:lvlText w:val="%9."/>
      <w:lvlJc w:val="right"/>
      <w:pPr>
        <w:ind w:left="5056" w:hanging="420"/>
      </w:pPr>
    </w:lvl>
  </w:abstractNum>
  <w:abstractNum w:abstractNumId="32">
    <w:nsid w:val="66785DDE"/>
    <w:multiLevelType w:val="multilevel"/>
    <w:tmpl w:val="66785DDE"/>
    <w:lvl w:ilvl="0" w:tentative="0">
      <w:start w:val="1"/>
      <w:numFmt w:val="decimal"/>
      <w:pStyle w:val="87"/>
      <w:lvlText w:val="%1."/>
      <w:lvlJc w:val="left"/>
      <w:pPr>
        <w:tabs>
          <w:tab w:val="left" w:pos="425"/>
        </w:tabs>
        <w:ind w:left="425" w:hanging="425"/>
      </w:pPr>
    </w:lvl>
    <w:lvl w:ilvl="1" w:tentative="0">
      <w:start w:val="7"/>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3">
    <w:nsid w:val="672077C5"/>
    <w:multiLevelType w:val="multilevel"/>
    <w:tmpl w:val="672077C5"/>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pStyle w:val="84"/>
      <w:lvlText w:val="%2."/>
      <w:lvlJc w:val="left"/>
      <w:pPr>
        <w:tabs>
          <w:tab w:val="left" w:pos="840"/>
        </w:tabs>
        <w:ind w:left="840" w:hanging="420"/>
      </w:pPr>
      <w:rPr>
        <w:rFonts w:hint="default"/>
        <w:b/>
      </w:rPr>
    </w:lvl>
    <w:lvl w:ilvl="2" w:tentative="0">
      <w:start w:val="1"/>
      <w:numFmt w:val="japaneseCounting"/>
      <w:pStyle w:val="86"/>
      <w:lvlText w:val="(%3)"/>
      <w:lvlJc w:val="left"/>
      <w:pPr>
        <w:tabs>
          <w:tab w:val="left" w:pos="1260"/>
        </w:tabs>
        <w:ind w:left="1260" w:hanging="420"/>
      </w:pPr>
      <w:rPr>
        <w:rFonts w:hint="default"/>
      </w:rPr>
    </w:lvl>
    <w:lvl w:ilvl="3" w:tentative="0">
      <w:start w:val="1"/>
      <w:numFmt w:val="bullet"/>
      <w:pStyle w:val="85"/>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680731CE"/>
    <w:multiLevelType w:val="multilevel"/>
    <w:tmpl w:val="680731CE"/>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strike w:val="0"/>
        <w:color w:val="000000"/>
        <w:sz w:val="21"/>
        <w:szCs w:val="21"/>
      </w:rPr>
    </w:lvl>
    <w:lvl w:ilvl="2" w:tentative="0">
      <w:start w:val="1"/>
      <w:numFmt w:val="decimal"/>
      <w:lvlText w:val="%1.%2.%3."/>
      <w:lvlJc w:val="left"/>
      <w:pPr>
        <w:tabs>
          <w:tab w:val="left" w:pos="709"/>
        </w:tabs>
        <w:ind w:left="709" w:hanging="709"/>
      </w:pPr>
      <w:rPr>
        <w:rFonts w:hint="default" w:ascii="宋体" w:hAnsi="宋体" w:eastAsia="宋体" w:cs="Times New Roman"/>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6EAE5E76"/>
    <w:multiLevelType w:val="multilevel"/>
    <w:tmpl w:val="6EAE5E76"/>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6F0C6306"/>
    <w:multiLevelType w:val="multilevel"/>
    <w:tmpl w:val="6F0C6306"/>
    <w:lvl w:ilvl="0" w:tentative="0">
      <w:start w:val="1"/>
      <w:numFmt w:val="decimal"/>
      <w:lvlText w:val="%1."/>
      <w:lvlJc w:val="left"/>
      <w:pPr>
        <w:ind w:left="425" w:hanging="425"/>
      </w:pPr>
      <w:rPr>
        <w:rFonts w:ascii="宋体" w:hAnsi="宋体" w:eastAsia="宋体"/>
        <w:b w:val="0"/>
        <w:sz w:val="21"/>
        <w:szCs w:val="21"/>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7">
    <w:nsid w:val="78D54744"/>
    <w:multiLevelType w:val="multilevel"/>
    <w:tmpl w:val="78D54744"/>
    <w:lvl w:ilvl="0" w:tentative="0">
      <w:start w:val="1"/>
      <w:numFmt w:val="decimal"/>
      <w:lvlText w:val="%1."/>
      <w:lvlJc w:val="left"/>
      <w:pPr>
        <w:tabs>
          <w:tab w:val="left" w:pos="780"/>
        </w:tabs>
        <w:ind w:left="780" w:hanging="360"/>
      </w:pPr>
      <w:rPr>
        <w:rFonts w:hint="default"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B302AA5"/>
    <w:multiLevelType w:val="multilevel"/>
    <w:tmpl w:val="7B302AA5"/>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E1B2821"/>
    <w:multiLevelType w:val="multilevel"/>
    <w:tmpl w:val="7E1B2821"/>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0"/>
  </w:num>
  <w:num w:numId="2">
    <w:abstractNumId w:val="33"/>
  </w:num>
  <w:num w:numId="3">
    <w:abstractNumId w:val="3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5"/>
  </w:num>
  <w:num w:numId="13">
    <w:abstractNumId w:val="10"/>
  </w:num>
  <w:num w:numId="14">
    <w:abstractNumId w:val="19"/>
  </w:num>
  <w:num w:numId="15">
    <w:abstractNumId w:val="11"/>
  </w:num>
  <w:num w:numId="16">
    <w:abstractNumId w:val="7"/>
  </w:num>
  <w:num w:numId="17">
    <w:abstractNumId w:val="3"/>
  </w:num>
  <w:num w:numId="18">
    <w:abstractNumId w:val="38"/>
  </w:num>
  <w:num w:numId="19">
    <w:abstractNumId w:val="2"/>
  </w:num>
  <w:num w:numId="20">
    <w:abstractNumId w:val="8"/>
  </w:num>
  <w:num w:numId="21">
    <w:abstractNumId w:val="26"/>
  </w:num>
  <w:num w:numId="22">
    <w:abstractNumId w:val="5"/>
  </w:num>
  <w:num w:numId="23">
    <w:abstractNumId w:val="16"/>
  </w:num>
  <w:num w:numId="24">
    <w:abstractNumId w:val="14"/>
  </w:num>
  <w:num w:numId="25">
    <w:abstractNumId w:val="1"/>
  </w:num>
  <w:num w:numId="26">
    <w:abstractNumId w:val="13"/>
  </w:num>
  <w:num w:numId="27">
    <w:abstractNumId w:val="2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7"/>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6"/>
  </w:num>
  <w:num w:numId="36">
    <w:abstractNumId w:val="35"/>
  </w:num>
  <w:num w:numId="37">
    <w:abstractNumId w:val="36"/>
  </w:num>
  <w:num w:numId="38">
    <w:abstractNumId w:val="9"/>
  </w:num>
  <w:num w:numId="39">
    <w:abstractNumId w:val="39"/>
  </w:num>
  <w:num w:numId="40">
    <w:abstractNumId w:val="2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5DF"/>
    <w:rsid w:val="00180070"/>
    <w:rsid w:val="00240378"/>
    <w:rsid w:val="00243275"/>
    <w:rsid w:val="00262FF0"/>
    <w:rsid w:val="00321A38"/>
    <w:rsid w:val="003448D8"/>
    <w:rsid w:val="003D4A3C"/>
    <w:rsid w:val="003D62D7"/>
    <w:rsid w:val="00467C84"/>
    <w:rsid w:val="00611B98"/>
    <w:rsid w:val="006300D7"/>
    <w:rsid w:val="00666797"/>
    <w:rsid w:val="007535DF"/>
    <w:rsid w:val="00770E31"/>
    <w:rsid w:val="008E163A"/>
    <w:rsid w:val="008F14A6"/>
    <w:rsid w:val="009A2577"/>
    <w:rsid w:val="00B10AD2"/>
    <w:rsid w:val="00CE3EF3"/>
    <w:rsid w:val="00D11AA3"/>
    <w:rsid w:val="00D90AD0"/>
    <w:rsid w:val="00E74EEE"/>
    <w:rsid w:val="00F152C4"/>
    <w:rsid w:val="00FB2009"/>
    <w:rsid w:val="0C974923"/>
    <w:rsid w:val="14E15222"/>
    <w:rsid w:val="16B642CD"/>
    <w:rsid w:val="1FEF0F71"/>
    <w:rsid w:val="2B3E3E9D"/>
    <w:rsid w:val="4E230BE9"/>
    <w:rsid w:val="563A1FD7"/>
    <w:rsid w:val="581F4AE8"/>
    <w:rsid w:val="60073E49"/>
    <w:rsid w:val="7F742D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widowControl/>
      <w:jc w:val="left"/>
      <w:outlineLvl w:val="0"/>
    </w:pPr>
    <w:rPr>
      <w:b/>
      <w:bCs/>
      <w:kern w:val="0"/>
      <w:sz w:val="24"/>
    </w:rPr>
  </w:style>
  <w:style w:type="paragraph" w:styleId="3">
    <w:name w:val="heading 2"/>
    <w:basedOn w:val="1"/>
    <w:next w:val="1"/>
    <w:link w:val="93"/>
    <w:qFormat/>
    <w:uiPriority w:val="0"/>
    <w:pPr>
      <w:keepNext/>
      <w:keepLines/>
      <w:spacing w:before="260" w:after="260" w:line="416" w:lineRule="auto"/>
      <w:outlineLvl w:val="1"/>
    </w:pPr>
    <w:rPr>
      <w:rFonts w:ascii="Arial" w:hAnsi="Arial" w:eastAsia="黑体"/>
      <w:b/>
      <w:bCs/>
      <w:sz w:val="32"/>
      <w:szCs w:val="32"/>
      <w:lang w:val="zh-CN"/>
    </w:rPr>
  </w:style>
  <w:style w:type="paragraph" w:styleId="4">
    <w:name w:val="heading 3"/>
    <w:basedOn w:val="1"/>
    <w:next w:val="1"/>
    <w:link w:val="41"/>
    <w:qFormat/>
    <w:uiPriority w:val="0"/>
    <w:pPr>
      <w:keepNext/>
      <w:outlineLvl w:val="2"/>
    </w:pPr>
    <w:rPr>
      <w:rFonts w:ascii="楷体_GB2312" w:hAnsi="宋体" w:eastAsia="楷体_GB2312"/>
      <w:b/>
      <w:bCs/>
      <w:sz w:val="32"/>
    </w:rPr>
  </w:style>
  <w:style w:type="paragraph" w:styleId="5">
    <w:name w:val="heading 4"/>
    <w:basedOn w:val="1"/>
    <w:next w:val="1"/>
    <w:link w:val="42"/>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6">
    <w:name w:val="heading 5"/>
    <w:basedOn w:val="1"/>
    <w:next w:val="1"/>
    <w:link w:val="43"/>
    <w:qFormat/>
    <w:uiPriority w:val="0"/>
    <w:pPr>
      <w:keepNext/>
      <w:keepLines/>
      <w:widowControl/>
      <w:spacing w:before="280" w:after="290" w:line="376" w:lineRule="auto"/>
      <w:jc w:val="left"/>
      <w:outlineLvl w:val="4"/>
    </w:pPr>
    <w:rPr>
      <w:b/>
      <w:bCs/>
      <w:kern w:val="0"/>
      <w:sz w:val="28"/>
      <w:szCs w:val="28"/>
    </w:rPr>
  </w:style>
  <w:style w:type="paragraph" w:styleId="7">
    <w:name w:val="heading 6"/>
    <w:basedOn w:val="1"/>
    <w:next w:val="1"/>
    <w:link w:val="44"/>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8">
    <w:name w:val="heading 7"/>
    <w:basedOn w:val="1"/>
    <w:next w:val="1"/>
    <w:link w:val="45"/>
    <w:qFormat/>
    <w:uiPriority w:val="0"/>
    <w:pPr>
      <w:keepNext/>
      <w:keepLines/>
      <w:widowControl/>
      <w:spacing w:before="240" w:after="64" w:line="320" w:lineRule="auto"/>
      <w:jc w:val="left"/>
      <w:outlineLvl w:val="6"/>
    </w:pPr>
    <w:rPr>
      <w:b/>
      <w:bCs/>
      <w:kern w:val="0"/>
      <w:sz w:val="24"/>
    </w:rPr>
  </w:style>
  <w:style w:type="paragraph" w:styleId="9">
    <w:name w:val="heading 8"/>
    <w:basedOn w:val="1"/>
    <w:next w:val="1"/>
    <w:link w:val="46"/>
    <w:qFormat/>
    <w:uiPriority w:val="0"/>
    <w:pPr>
      <w:keepNext/>
      <w:keepLines/>
      <w:widowControl/>
      <w:spacing w:before="240" w:after="64" w:line="320" w:lineRule="auto"/>
      <w:jc w:val="left"/>
      <w:outlineLvl w:val="7"/>
    </w:pPr>
    <w:rPr>
      <w:rFonts w:ascii="Arial" w:hAnsi="Arial" w:eastAsia="黑体"/>
      <w:kern w:val="0"/>
      <w:sz w:val="24"/>
    </w:rPr>
  </w:style>
  <w:style w:type="paragraph" w:styleId="10">
    <w:name w:val="heading 9"/>
    <w:basedOn w:val="1"/>
    <w:next w:val="1"/>
    <w:link w:val="47"/>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97"/>
    <w:qFormat/>
    <w:uiPriority w:val="0"/>
    <w:pPr>
      <w:ind w:firstLine="420" w:firstLineChars="200"/>
    </w:pPr>
    <w:rPr>
      <w:szCs w:val="21"/>
      <w:lang w:val="zh-CN"/>
    </w:rPr>
  </w:style>
  <w:style w:type="paragraph" w:styleId="12">
    <w:name w:val="Document Map"/>
    <w:basedOn w:val="1"/>
    <w:link w:val="58"/>
    <w:qFormat/>
    <w:uiPriority w:val="0"/>
    <w:pPr>
      <w:shd w:val="clear" w:color="auto" w:fill="000080"/>
    </w:pPr>
    <w:rPr>
      <w:szCs w:val="20"/>
    </w:rPr>
  </w:style>
  <w:style w:type="paragraph" w:styleId="13">
    <w:name w:val="annotation text"/>
    <w:basedOn w:val="1"/>
    <w:link w:val="95"/>
    <w:qFormat/>
    <w:uiPriority w:val="0"/>
    <w:pPr>
      <w:jc w:val="left"/>
    </w:pPr>
    <w:rPr>
      <w:lang w:val="zh-CN"/>
    </w:rPr>
  </w:style>
  <w:style w:type="paragraph" w:styleId="14">
    <w:name w:val="Body Text 3"/>
    <w:basedOn w:val="1"/>
    <w:link w:val="92"/>
    <w:qFormat/>
    <w:uiPriority w:val="0"/>
    <w:pPr>
      <w:spacing w:after="120"/>
    </w:pPr>
    <w:rPr>
      <w:sz w:val="16"/>
      <w:szCs w:val="16"/>
    </w:rPr>
  </w:style>
  <w:style w:type="paragraph" w:styleId="15">
    <w:name w:val="Body Text"/>
    <w:basedOn w:val="1"/>
    <w:link w:val="55"/>
    <w:qFormat/>
    <w:uiPriority w:val="0"/>
    <w:pPr>
      <w:spacing w:after="120"/>
    </w:pPr>
  </w:style>
  <w:style w:type="paragraph" w:styleId="16">
    <w:name w:val="Body Text Indent"/>
    <w:basedOn w:val="1"/>
    <w:link w:val="53"/>
    <w:qFormat/>
    <w:uiPriority w:val="0"/>
    <w:pPr>
      <w:spacing w:line="560" w:lineRule="exact"/>
      <w:ind w:left="300"/>
    </w:pPr>
    <w:rPr>
      <w:sz w:val="24"/>
    </w:rPr>
  </w:style>
  <w:style w:type="paragraph" w:styleId="17">
    <w:name w:val="Plain Text"/>
    <w:basedOn w:val="1"/>
    <w:link w:val="94"/>
    <w:qFormat/>
    <w:uiPriority w:val="0"/>
    <w:rPr>
      <w:rFonts w:ascii="宋体" w:hAnsi="Courier New"/>
      <w:szCs w:val="21"/>
      <w:lang w:val="zh-CN"/>
    </w:rPr>
  </w:style>
  <w:style w:type="paragraph" w:styleId="18">
    <w:name w:val="Date"/>
    <w:basedOn w:val="1"/>
    <w:next w:val="1"/>
    <w:link w:val="59"/>
    <w:qFormat/>
    <w:uiPriority w:val="0"/>
    <w:pPr>
      <w:widowControl/>
    </w:pPr>
    <w:rPr>
      <w:rFonts w:ascii="宋体"/>
      <w:kern w:val="0"/>
      <w:szCs w:val="20"/>
    </w:rPr>
  </w:style>
  <w:style w:type="paragraph" w:styleId="19">
    <w:name w:val="Body Text Indent 2"/>
    <w:basedOn w:val="1"/>
    <w:link w:val="54"/>
    <w:qFormat/>
    <w:uiPriority w:val="0"/>
    <w:pPr>
      <w:spacing w:line="540" w:lineRule="exact"/>
      <w:ind w:left="462" w:leftChars="220"/>
    </w:pPr>
    <w:rPr>
      <w:sz w:val="24"/>
    </w:rPr>
  </w:style>
  <w:style w:type="paragraph" w:styleId="20">
    <w:name w:val="Balloon Text"/>
    <w:basedOn w:val="1"/>
    <w:link w:val="57"/>
    <w:qFormat/>
    <w:uiPriority w:val="0"/>
    <w:rPr>
      <w:sz w:val="18"/>
      <w:szCs w:val="20"/>
    </w:rPr>
  </w:style>
  <w:style w:type="paragraph" w:styleId="21">
    <w:name w:val="footer"/>
    <w:basedOn w:val="1"/>
    <w:link w:val="49"/>
    <w:qFormat/>
    <w:uiPriority w:val="0"/>
    <w:pPr>
      <w:tabs>
        <w:tab w:val="center" w:pos="4153"/>
        <w:tab w:val="right" w:pos="8306"/>
      </w:tabs>
      <w:snapToGrid w:val="0"/>
      <w:jc w:val="left"/>
    </w:pPr>
    <w:rPr>
      <w:sz w:val="18"/>
      <w:szCs w:val="18"/>
    </w:rPr>
  </w:style>
  <w:style w:type="paragraph" w:styleId="22">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style>
  <w:style w:type="paragraph" w:styleId="24">
    <w:name w:val="footnote text"/>
    <w:basedOn w:val="1"/>
    <w:link w:val="99"/>
    <w:qFormat/>
    <w:uiPriority w:val="0"/>
    <w:pPr>
      <w:autoSpaceDE w:val="0"/>
      <w:autoSpaceDN w:val="0"/>
      <w:adjustRightInd w:val="0"/>
      <w:snapToGrid w:val="0"/>
      <w:jc w:val="left"/>
    </w:pPr>
    <w:rPr>
      <w:kern w:val="0"/>
      <w:sz w:val="18"/>
      <w:szCs w:val="18"/>
      <w:lang w:val="zh-CN"/>
    </w:rPr>
  </w:style>
  <w:style w:type="paragraph" w:styleId="25">
    <w:name w:val="Body Text Indent 3"/>
    <w:basedOn w:val="1"/>
    <w:link w:val="65"/>
    <w:qFormat/>
    <w:uiPriority w:val="0"/>
    <w:pPr>
      <w:spacing w:after="120"/>
      <w:ind w:left="420" w:leftChars="200"/>
    </w:pPr>
    <w:rPr>
      <w:sz w:val="16"/>
      <w:szCs w:val="16"/>
    </w:rPr>
  </w:style>
  <w:style w:type="paragraph" w:styleId="26">
    <w:name w:val="HTML Preformatted"/>
    <w:basedOn w:val="1"/>
    <w:link w:val="8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7">
    <w:name w:val="Normal (Web)"/>
    <w:basedOn w:val="1"/>
    <w:qFormat/>
    <w:uiPriority w:val="99"/>
    <w:pPr>
      <w:widowControl/>
      <w:spacing w:before="100" w:beforeAutospacing="1" w:after="100" w:afterAutospacing="1"/>
      <w:jc w:val="left"/>
    </w:pPr>
    <w:rPr>
      <w:rFonts w:ascii="宋体" w:hAnsi="宋体"/>
      <w:kern w:val="0"/>
      <w:sz w:val="24"/>
    </w:rPr>
  </w:style>
  <w:style w:type="paragraph" w:styleId="28">
    <w:name w:val="Title"/>
    <w:basedOn w:val="1"/>
    <w:next w:val="1"/>
    <w:link w:val="106"/>
    <w:qFormat/>
    <w:uiPriority w:val="0"/>
    <w:pPr>
      <w:autoSpaceDE w:val="0"/>
      <w:autoSpaceDN w:val="0"/>
      <w:adjustRightInd w:val="0"/>
      <w:spacing w:before="240" w:after="60"/>
      <w:jc w:val="center"/>
      <w:outlineLvl w:val="0"/>
    </w:pPr>
    <w:rPr>
      <w:rFonts w:ascii="Cambria" w:hAnsi="Cambria"/>
      <w:b/>
      <w:bCs/>
      <w:kern w:val="0"/>
      <w:sz w:val="32"/>
      <w:szCs w:val="32"/>
      <w:lang w:val="zh-CN"/>
    </w:rPr>
  </w:style>
  <w:style w:type="paragraph" w:styleId="29">
    <w:name w:val="annotation subject"/>
    <w:basedOn w:val="13"/>
    <w:next w:val="13"/>
    <w:link w:val="100"/>
    <w:qFormat/>
    <w:uiPriority w:val="0"/>
    <w:rPr>
      <w:b/>
      <w:bCs/>
    </w:rPr>
  </w:style>
  <w:style w:type="table" w:styleId="31">
    <w:name w:val="Table Grid"/>
    <w:basedOn w:val="3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basedOn w:val="32"/>
    <w:semiHidden/>
    <w:unhideWhenUsed/>
    <w:qFormat/>
    <w:uiPriority w:val="99"/>
    <w:rPr>
      <w:color w:val="954F72" w:themeColor="followedHyperlink"/>
      <w:u w:val="single"/>
    </w:rPr>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styleId="38">
    <w:name w:val="footnote reference"/>
    <w:qFormat/>
    <w:uiPriority w:val="0"/>
    <w:rPr>
      <w:vertAlign w:val="superscript"/>
    </w:rPr>
  </w:style>
  <w:style w:type="character" w:customStyle="1" w:styleId="39">
    <w:name w:val="标题 1 Char"/>
    <w:basedOn w:val="32"/>
    <w:link w:val="2"/>
    <w:qFormat/>
    <w:uiPriority w:val="0"/>
    <w:rPr>
      <w:rFonts w:ascii="Times New Roman" w:hAnsi="Times New Roman" w:eastAsia="宋体" w:cs="Times New Roman"/>
      <w:b/>
      <w:bCs/>
      <w:kern w:val="0"/>
      <w:sz w:val="24"/>
      <w:szCs w:val="24"/>
    </w:rPr>
  </w:style>
  <w:style w:type="character" w:customStyle="1" w:styleId="40">
    <w:name w:val="标题 2 字符"/>
    <w:basedOn w:val="32"/>
    <w:semiHidden/>
    <w:qFormat/>
    <w:uiPriority w:val="9"/>
    <w:rPr>
      <w:rFonts w:asciiTheme="majorHAnsi" w:hAnsiTheme="majorHAnsi" w:eastAsiaTheme="majorEastAsia" w:cstheme="majorBidi"/>
      <w:b/>
      <w:bCs/>
      <w:sz w:val="32"/>
      <w:szCs w:val="32"/>
    </w:rPr>
  </w:style>
  <w:style w:type="character" w:customStyle="1" w:styleId="41">
    <w:name w:val="标题 3 Char"/>
    <w:basedOn w:val="32"/>
    <w:link w:val="4"/>
    <w:qFormat/>
    <w:uiPriority w:val="0"/>
    <w:rPr>
      <w:rFonts w:ascii="楷体_GB2312" w:hAnsi="宋体" w:eastAsia="楷体_GB2312" w:cs="Times New Roman"/>
      <w:b/>
      <w:bCs/>
      <w:sz w:val="32"/>
      <w:szCs w:val="24"/>
    </w:rPr>
  </w:style>
  <w:style w:type="character" w:customStyle="1" w:styleId="42">
    <w:name w:val="标题 4 Char"/>
    <w:basedOn w:val="32"/>
    <w:link w:val="5"/>
    <w:qFormat/>
    <w:uiPriority w:val="0"/>
    <w:rPr>
      <w:rFonts w:ascii="Arial" w:hAnsi="Arial" w:eastAsia="黑体" w:cs="Times New Roman"/>
      <w:b/>
      <w:bCs/>
      <w:kern w:val="0"/>
      <w:sz w:val="28"/>
      <w:szCs w:val="28"/>
    </w:rPr>
  </w:style>
  <w:style w:type="character" w:customStyle="1" w:styleId="43">
    <w:name w:val="标题 5 Char"/>
    <w:basedOn w:val="32"/>
    <w:link w:val="6"/>
    <w:qFormat/>
    <w:uiPriority w:val="0"/>
    <w:rPr>
      <w:rFonts w:ascii="Times New Roman" w:hAnsi="Times New Roman" w:eastAsia="宋体" w:cs="Times New Roman"/>
      <w:b/>
      <w:bCs/>
      <w:kern w:val="0"/>
      <w:sz w:val="28"/>
      <w:szCs w:val="28"/>
    </w:rPr>
  </w:style>
  <w:style w:type="character" w:customStyle="1" w:styleId="44">
    <w:name w:val="标题 6 Char"/>
    <w:basedOn w:val="32"/>
    <w:link w:val="7"/>
    <w:qFormat/>
    <w:uiPriority w:val="0"/>
    <w:rPr>
      <w:rFonts w:ascii="Arial" w:hAnsi="Arial" w:eastAsia="黑体" w:cs="Times New Roman"/>
      <w:b/>
      <w:bCs/>
      <w:kern w:val="0"/>
      <w:sz w:val="24"/>
      <w:szCs w:val="24"/>
    </w:rPr>
  </w:style>
  <w:style w:type="character" w:customStyle="1" w:styleId="45">
    <w:name w:val="标题 7 Char"/>
    <w:basedOn w:val="32"/>
    <w:link w:val="8"/>
    <w:qFormat/>
    <w:uiPriority w:val="0"/>
    <w:rPr>
      <w:rFonts w:ascii="Times New Roman" w:hAnsi="Times New Roman" w:eastAsia="宋体" w:cs="Times New Roman"/>
      <w:b/>
      <w:bCs/>
      <w:kern w:val="0"/>
      <w:sz w:val="24"/>
      <w:szCs w:val="24"/>
    </w:rPr>
  </w:style>
  <w:style w:type="character" w:customStyle="1" w:styleId="46">
    <w:name w:val="标题 8 Char"/>
    <w:basedOn w:val="32"/>
    <w:link w:val="9"/>
    <w:qFormat/>
    <w:uiPriority w:val="0"/>
    <w:rPr>
      <w:rFonts w:ascii="Arial" w:hAnsi="Arial" w:eastAsia="黑体" w:cs="Times New Roman"/>
      <w:kern w:val="0"/>
      <w:sz w:val="24"/>
      <w:szCs w:val="24"/>
    </w:rPr>
  </w:style>
  <w:style w:type="character" w:customStyle="1" w:styleId="47">
    <w:name w:val="标题 9 Char"/>
    <w:basedOn w:val="32"/>
    <w:link w:val="10"/>
    <w:qFormat/>
    <w:uiPriority w:val="0"/>
    <w:rPr>
      <w:rFonts w:ascii="Arial" w:hAnsi="Arial" w:eastAsia="黑体" w:cs="Times New Roman"/>
      <w:kern w:val="0"/>
      <w:szCs w:val="21"/>
    </w:rPr>
  </w:style>
  <w:style w:type="character" w:customStyle="1" w:styleId="48">
    <w:name w:val="页脚 字符"/>
    <w:basedOn w:val="32"/>
    <w:semiHidden/>
    <w:qFormat/>
    <w:uiPriority w:val="99"/>
    <w:rPr>
      <w:rFonts w:ascii="Times New Roman" w:hAnsi="Times New Roman" w:eastAsia="宋体" w:cs="Times New Roman"/>
      <w:sz w:val="18"/>
      <w:szCs w:val="18"/>
    </w:rPr>
  </w:style>
  <w:style w:type="character" w:customStyle="1" w:styleId="49">
    <w:name w:val="页脚 Char"/>
    <w:link w:val="21"/>
    <w:locked/>
    <w:uiPriority w:val="0"/>
    <w:rPr>
      <w:rFonts w:ascii="Times New Roman" w:hAnsi="Times New Roman" w:eastAsia="宋体" w:cs="Times New Roman"/>
      <w:sz w:val="18"/>
      <w:szCs w:val="18"/>
    </w:rPr>
  </w:style>
  <w:style w:type="character" w:customStyle="1" w:styleId="50">
    <w:name w:val="页眉 字符"/>
    <w:basedOn w:val="32"/>
    <w:semiHidden/>
    <w:uiPriority w:val="99"/>
    <w:rPr>
      <w:rFonts w:ascii="Times New Roman" w:hAnsi="Times New Roman" w:eastAsia="宋体" w:cs="Times New Roman"/>
      <w:sz w:val="18"/>
      <w:szCs w:val="18"/>
    </w:rPr>
  </w:style>
  <w:style w:type="character" w:customStyle="1" w:styleId="51">
    <w:name w:val="页眉 Char"/>
    <w:link w:val="22"/>
    <w:qFormat/>
    <w:locked/>
    <w:uiPriority w:val="0"/>
    <w:rPr>
      <w:rFonts w:ascii="Times New Roman" w:hAnsi="Times New Roman" w:eastAsia="宋体" w:cs="Times New Roman"/>
      <w:sz w:val="18"/>
      <w:szCs w:val="18"/>
    </w:rPr>
  </w:style>
  <w:style w:type="character" w:customStyle="1" w:styleId="52">
    <w:name w:val="纯文本 字符"/>
    <w:basedOn w:val="32"/>
    <w:semiHidden/>
    <w:qFormat/>
    <w:uiPriority w:val="0"/>
    <w:rPr>
      <w:rFonts w:hAnsi="Courier New" w:cs="Courier New" w:asciiTheme="minorEastAsia"/>
      <w:szCs w:val="24"/>
    </w:rPr>
  </w:style>
  <w:style w:type="character" w:customStyle="1" w:styleId="53">
    <w:name w:val="正文文本缩进 Char"/>
    <w:basedOn w:val="32"/>
    <w:link w:val="16"/>
    <w:qFormat/>
    <w:uiPriority w:val="0"/>
    <w:rPr>
      <w:rFonts w:ascii="Times New Roman" w:hAnsi="Times New Roman" w:eastAsia="宋体" w:cs="Times New Roman"/>
      <w:sz w:val="24"/>
      <w:szCs w:val="24"/>
    </w:rPr>
  </w:style>
  <w:style w:type="character" w:customStyle="1" w:styleId="54">
    <w:name w:val="正文文本缩进 2 Char"/>
    <w:basedOn w:val="32"/>
    <w:link w:val="19"/>
    <w:uiPriority w:val="0"/>
    <w:rPr>
      <w:rFonts w:ascii="Times New Roman" w:hAnsi="Times New Roman" w:eastAsia="宋体" w:cs="Times New Roman"/>
      <w:sz w:val="24"/>
      <w:szCs w:val="24"/>
    </w:rPr>
  </w:style>
  <w:style w:type="character" w:customStyle="1" w:styleId="55">
    <w:name w:val="正文文本 Char"/>
    <w:basedOn w:val="32"/>
    <w:link w:val="15"/>
    <w:uiPriority w:val="0"/>
    <w:rPr>
      <w:rFonts w:ascii="Times New Roman" w:hAnsi="Times New Roman" w:eastAsia="宋体" w:cs="Times New Roman"/>
      <w:szCs w:val="24"/>
    </w:rPr>
  </w:style>
  <w:style w:type="character" w:customStyle="1" w:styleId="56">
    <w:name w:val="批注框文本 字符"/>
    <w:basedOn w:val="32"/>
    <w:semiHidden/>
    <w:qFormat/>
    <w:uiPriority w:val="99"/>
    <w:rPr>
      <w:rFonts w:ascii="Times New Roman" w:hAnsi="Times New Roman" w:eastAsia="宋体" w:cs="Times New Roman"/>
      <w:sz w:val="18"/>
      <w:szCs w:val="18"/>
    </w:rPr>
  </w:style>
  <w:style w:type="character" w:customStyle="1" w:styleId="57">
    <w:name w:val="批注框文本 Char"/>
    <w:link w:val="20"/>
    <w:locked/>
    <w:uiPriority w:val="0"/>
    <w:rPr>
      <w:rFonts w:ascii="Times New Roman" w:hAnsi="Times New Roman" w:eastAsia="宋体" w:cs="Times New Roman"/>
      <w:sz w:val="18"/>
      <w:szCs w:val="20"/>
    </w:rPr>
  </w:style>
  <w:style w:type="character" w:customStyle="1" w:styleId="58">
    <w:name w:val="文档结构图 Char"/>
    <w:basedOn w:val="32"/>
    <w:link w:val="12"/>
    <w:qFormat/>
    <w:uiPriority w:val="0"/>
    <w:rPr>
      <w:rFonts w:ascii="Times New Roman" w:hAnsi="Times New Roman" w:eastAsia="宋体" w:cs="Times New Roman"/>
      <w:szCs w:val="20"/>
      <w:shd w:val="clear" w:color="auto" w:fill="000080"/>
    </w:rPr>
  </w:style>
  <w:style w:type="character" w:customStyle="1" w:styleId="59">
    <w:name w:val="日期 Char"/>
    <w:basedOn w:val="32"/>
    <w:link w:val="18"/>
    <w:qFormat/>
    <w:uiPriority w:val="0"/>
    <w:rPr>
      <w:rFonts w:ascii="宋体" w:hAnsi="Times New Roman" w:eastAsia="宋体" w:cs="Times New Roman"/>
      <w:kern w:val="0"/>
      <w:szCs w:val="20"/>
    </w:rPr>
  </w:style>
  <w:style w:type="paragraph" w:customStyle="1" w:styleId="6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1">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2">
    <w:name w:val="3 Char"/>
    <w:basedOn w:val="1"/>
    <w:uiPriority w:val="0"/>
    <w:pPr>
      <w:widowControl/>
      <w:spacing w:line="400" w:lineRule="exact"/>
      <w:jc w:val="center"/>
    </w:pPr>
    <w:rPr>
      <w:rFonts w:ascii="Verdana" w:hAnsi="Verdana"/>
      <w:kern w:val="0"/>
      <w:szCs w:val="20"/>
      <w:lang w:eastAsia="en-US"/>
    </w:rPr>
  </w:style>
  <w:style w:type="paragraph" w:customStyle="1" w:styleId="63">
    <w:name w:val="编号"/>
    <w:basedOn w:val="1"/>
    <w:next w:val="64"/>
    <w:link w:val="107"/>
    <w:qFormat/>
    <w:uiPriority w:val="34"/>
    <w:pPr>
      <w:ind w:firstLine="420" w:firstLineChars="200"/>
    </w:pPr>
    <w:rPr>
      <w:rFonts w:eastAsia="黑体" w:asciiTheme="minorHAnsi" w:hAnsiTheme="minorHAnsi" w:cstheme="minorBidi"/>
      <w:bCs/>
      <w:sz w:val="30"/>
      <w:szCs w:val="30"/>
    </w:rPr>
  </w:style>
  <w:style w:type="paragraph" w:styleId="64">
    <w:name w:val="List Paragraph"/>
    <w:basedOn w:val="1"/>
    <w:qFormat/>
    <w:uiPriority w:val="34"/>
    <w:pPr>
      <w:ind w:firstLine="420" w:firstLineChars="200"/>
    </w:pPr>
  </w:style>
  <w:style w:type="character" w:customStyle="1" w:styleId="65">
    <w:name w:val="正文文本缩进 3 Char"/>
    <w:basedOn w:val="32"/>
    <w:link w:val="25"/>
    <w:uiPriority w:val="0"/>
    <w:rPr>
      <w:rFonts w:ascii="Times New Roman" w:hAnsi="Times New Roman" w:eastAsia="宋体" w:cs="Times New Roman"/>
      <w:sz w:val="16"/>
      <w:szCs w:val="16"/>
    </w:rPr>
  </w:style>
  <w:style w:type="paragraph" w:customStyle="1" w:styleId="66">
    <w:name w:val="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67">
    <w:name w:val="默认段落字体 Para Char Char Char Char"/>
    <w:basedOn w:val="1"/>
    <w:uiPriority w:val="0"/>
    <w:rPr>
      <w:szCs w:val="20"/>
    </w:rPr>
  </w:style>
  <w:style w:type="paragraph" w:customStyle="1" w:styleId="6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69">
    <w:name w:val="批注文字 字符"/>
    <w:basedOn w:val="32"/>
    <w:semiHidden/>
    <w:uiPriority w:val="99"/>
    <w:rPr>
      <w:rFonts w:ascii="Times New Roman" w:hAnsi="Times New Roman" w:eastAsia="宋体" w:cs="Times New Roman"/>
      <w:szCs w:val="24"/>
    </w:rPr>
  </w:style>
  <w:style w:type="paragraph" w:customStyle="1" w:styleId="70">
    <w:name w:val="样式4"/>
    <w:basedOn w:val="1"/>
    <w:qFormat/>
    <w:uiPriority w:val="99"/>
    <w:pPr>
      <w:numPr>
        <w:ilvl w:val="3"/>
        <w:numId w:val="1"/>
      </w:numPr>
    </w:pPr>
  </w:style>
  <w:style w:type="paragraph" w:customStyle="1" w:styleId="71">
    <w:name w:val="样式1"/>
    <w:basedOn w:val="1"/>
    <w:qFormat/>
    <w:uiPriority w:val="99"/>
    <w:pPr>
      <w:numPr>
        <w:ilvl w:val="0"/>
        <w:numId w:val="1"/>
      </w:numPr>
      <w:tabs>
        <w:tab w:val="left" w:pos="709"/>
      </w:tabs>
      <w:adjustRightInd w:val="0"/>
      <w:textAlignment w:val="baseline"/>
    </w:pPr>
    <w:rPr>
      <w:rFonts w:ascii="宋体" w:hAnsi="宋体"/>
      <w:kern w:val="0"/>
      <w:szCs w:val="20"/>
    </w:rPr>
  </w:style>
  <w:style w:type="character" w:customStyle="1" w:styleId="72">
    <w:name w:val="批注主题 字符"/>
    <w:basedOn w:val="69"/>
    <w:semiHidden/>
    <w:uiPriority w:val="99"/>
    <w:rPr>
      <w:rFonts w:ascii="Times New Roman" w:hAnsi="Times New Roman" w:eastAsia="宋体" w:cs="Times New Roman"/>
      <w:b/>
      <w:bCs/>
      <w:szCs w:val="24"/>
    </w:rPr>
  </w:style>
  <w:style w:type="paragraph" w:customStyle="1" w:styleId="73">
    <w:name w:val="表格"/>
    <w:basedOn w:val="1"/>
    <w:uiPriority w:val="0"/>
    <w:pPr>
      <w:spacing w:line="420" w:lineRule="exact"/>
      <w:ind w:left="84" w:leftChars="40"/>
      <w:jc w:val="center"/>
    </w:pPr>
    <w:rPr>
      <w:rFonts w:ascii="宋体" w:hAnsi="宋体"/>
      <w:bCs/>
      <w:spacing w:val="-12"/>
    </w:rPr>
  </w:style>
  <w:style w:type="paragraph" w:customStyle="1" w:styleId="74">
    <w:name w:val="head"/>
    <w:basedOn w:val="1"/>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75">
    <w:name w:val="xl29"/>
    <w:basedOn w:val="1"/>
    <w:uiPriority w:val="0"/>
    <w:pPr>
      <w:widowControl/>
      <w:spacing w:before="100" w:beforeAutospacing="1" w:after="100" w:afterAutospacing="1"/>
      <w:jc w:val="center"/>
    </w:pPr>
    <w:rPr>
      <w:rFonts w:ascii="宋体" w:hAnsi="宋体"/>
      <w:kern w:val="0"/>
      <w:sz w:val="28"/>
      <w:szCs w:val="28"/>
    </w:rPr>
  </w:style>
  <w:style w:type="character" w:customStyle="1" w:styleId="76">
    <w:name w:val="s10pv000000"/>
    <w:basedOn w:val="32"/>
    <w:uiPriority w:val="0"/>
  </w:style>
  <w:style w:type="paragraph" w:customStyle="1" w:styleId="77">
    <w:name w:val="font0"/>
    <w:basedOn w:val="1"/>
    <w:uiPriority w:val="0"/>
    <w:pPr>
      <w:widowControl/>
      <w:spacing w:before="100" w:beforeAutospacing="1" w:after="100" w:afterAutospacing="1"/>
      <w:jc w:val="left"/>
    </w:pPr>
    <w:rPr>
      <w:rFonts w:hint="eastAsia" w:ascii="宋体" w:hAnsi="宋体"/>
      <w:kern w:val="0"/>
      <w:sz w:val="24"/>
    </w:rPr>
  </w:style>
  <w:style w:type="paragraph" w:customStyle="1" w:styleId="78">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79">
    <w:name w:val="font6"/>
    <w:basedOn w:val="1"/>
    <w:uiPriority w:val="0"/>
    <w:pPr>
      <w:widowControl/>
      <w:spacing w:before="100" w:beforeAutospacing="1" w:after="100" w:afterAutospacing="1"/>
      <w:jc w:val="left"/>
    </w:pPr>
    <w:rPr>
      <w:rFonts w:hint="eastAsia" w:ascii="宋体" w:hAnsi="宋体"/>
      <w:kern w:val="0"/>
      <w:sz w:val="24"/>
    </w:rPr>
  </w:style>
  <w:style w:type="paragraph" w:customStyle="1" w:styleId="80">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81">
    <w:name w:val="基准标题"/>
    <w:basedOn w:val="15"/>
    <w:next w:val="15"/>
    <w:uiPriority w:val="0"/>
    <w:pPr>
      <w:keepNext/>
      <w:keepLines/>
      <w:widowControl/>
      <w:spacing w:after="0" w:line="240" w:lineRule="atLeast"/>
      <w:jc w:val="left"/>
    </w:pPr>
    <w:rPr>
      <w:rFonts w:ascii="Garamond" w:hAnsi="Garamond"/>
      <w:kern w:val="20"/>
      <w:sz w:val="22"/>
      <w:szCs w:val="20"/>
      <w:lang w:bidi="he-IL"/>
    </w:rPr>
  </w:style>
  <w:style w:type="character" w:customStyle="1" w:styleId="82">
    <w:name w:val="HTML 预设格式 Char"/>
    <w:basedOn w:val="32"/>
    <w:link w:val="26"/>
    <w:uiPriority w:val="0"/>
    <w:rPr>
      <w:rFonts w:ascii="黑体" w:hAnsi="Courier New" w:eastAsia="黑体" w:cs="Courier New"/>
      <w:kern w:val="0"/>
      <w:sz w:val="20"/>
      <w:szCs w:val="20"/>
    </w:rPr>
  </w:style>
  <w:style w:type="character" w:customStyle="1" w:styleId="83">
    <w:name w:val="f141"/>
    <w:qFormat/>
    <w:uiPriority w:val="0"/>
    <w:rPr>
      <w:sz w:val="21"/>
      <w:szCs w:val="21"/>
    </w:rPr>
  </w:style>
  <w:style w:type="paragraph" w:customStyle="1" w:styleId="84">
    <w:name w:val="样式 标题 2 + 宋体 五号 非加粗 黑色"/>
    <w:basedOn w:val="3"/>
    <w:uiPriority w:val="0"/>
    <w:pPr>
      <w:numPr>
        <w:ilvl w:val="1"/>
        <w:numId w:val="2"/>
      </w:numPr>
      <w:adjustRightInd w:val="0"/>
      <w:spacing w:line="416" w:lineRule="atLeast"/>
      <w:jc w:val="left"/>
      <w:textAlignment w:val="baseline"/>
    </w:pPr>
    <w:rPr>
      <w:rFonts w:ascii="宋体" w:hAnsi="宋体" w:eastAsia="宋体"/>
      <w:b w:val="0"/>
      <w:bCs w:val="0"/>
      <w:color w:val="000000"/>
      <w:kern w:val="0"/>
      <w:sz w:val="21"/>
      <w:szCs w:val="20"/>
    </w:rPr>
  </w:style>
  <w:style w:type="paragraph" w:customStyle="1" w:styleId="85">
    <w:name w:val="样式 标题 4 + 段前: 5 磅 段后: 5 磅 行距: 单倍行距"/>
    <w:basedOn w:val="5"/>
    <w:qFormat/>
    <w:uiPriority w:val="0"/>
    <w:pPr>
      <w:widowControl w:val="0"/>
      <w:numPr>
        <w:ilvl w:val="3"/>
        <w:numId w:val="2"/>
      </w:numPr>
      <w:adjustRightInd w:val="0"/>
      <w:spacing w:before="100" w:after="100" w:line="240" w:lineRule="auto"/>
      <w:textAlignment w:val="baseline"/>
    </w:pPr>
    <w:rPr>
      <w:bCs w:val="0"/>
      <w:szCs w:val="20"/>
    </w:rPr>
  </w:style>
  <w:style w:type="paragraph" w:customStyle="1" w:styleId="86">
    <w:name w:val="样式 标题 3h3H3sect1.2.3 + 五号 段前: 6 磅 段后: 6 磅 行距: 单倍行距"/>
    <w:basedOn w:val="4"/>
    <w:qFormat/>
    <w:uiPriority w:val="0"/>
    <w:pPr>
      <w:keepLines/>
      <w:numPr>
        <w:ilvl w:val="2"/>
        <w:numId w:val="2"/>
      </w:numPr>
      <w:adjustRightInd w:val="0"/>
      <w:spacing w:before="120" w:after="120"/>
      <w:jc w:val="left"/>
      <w:textAlignment w:val="baseline"/>
    </w:pPr>
    <w:rPr>
      <w:rFonts w:ascii="Times New Roman" w:hAnsi="Times New Roman" w:eastAsia="宋体"/>
      <w:bCs w:val="0"/>
      <w:kern w:val="0"/>
      <w:sz w:val="21"/>
      <w:szCs w:val="20"/>
    </w:rPr>
  </w:style>
  <w:style w:type="paragraph" w:customStyle="1" w:styleId="87">
    <w:name w:val="设计方案"/>
    <w:basedOn w:val="1"/>
    <w:uiPriority w:val="0"/>
    <w:pPr>
      <w:widowControl/>
      <w:numPr>
        <w:ilvl w:val="0"/>
        <w:numId w:val="3"/>
      </w:numPr>
      <w:spacing w:after="160" w:line="240" w:lineRule="exact"/>
      <w:jc w:val="left"/>
    </w:pPr>
    <w:rPr>
      <w:rFonts w:ascii="Verdana" w:hAnsi="Verdana"/>
      <w:kern w:val="0"/>
      <w:szCs w:val="20"/>
      <w:lang w:eastAsia="en-US"/>
    </w:rPr>
  </w:style>
  <w:style w:type="paragraph" w:customStyle="1" w:styleId="88">
    <w:name w:val="Char Char Char Char Char Char Char"/>
    <w:basedOn w:val="1"/>
    <w:uiPriority w:val="0"/>
    <w:rPr>
      <w:rFonts w:ascii="Tahoma" w:hAnsi="Tahoma" w:cs="Tahoma"/>
      <w:sz w:val="30"/>
      <w:szCs w:val="30"/>
    </w:rPr>
  </w:style>
  <w:style w:type="paragraph" w:customStyle="1" w:styleId="89">
    <w:name w:val="Char1 Char Char Char"/>
    <w:basedOn w:val="1"/>
    <w:uiPriority w:val="0"/>
    <w:rPr>
      <w:szCs w:val="20"/>
    </w:rPr>
  </w:style>
  <w:style w:type="paragraph" w:customStyle="1" w:styleId="90">
    <w:name w:val="Char1"/>
    <w:basedOn w:val="1"/>
    <w:uiPriority w:val="0"/>
    <w:pPr>
      <w:widowControl/>
      <w:spacing w:after="160" w:line="240" w:lineRule="exact"/>
      <w:jc w:val="left"/>
    </w:pPr>
    <w:rPr>
      <w:sz w:val="24"/>
    </w:rPr>
  </w:style>
  <w:style w:type="character" w:customStyle="1" w:styleId="91">
    <w:name w:val="p141"/>
    <w:qFormat/>
    <w:uiPriority w:val="0"/>
    <w:rPr>
      <w:sz w:val="21"/>
      <w:szCs w:val="21"/>
    </w:rPr>
  </w:style>
  <w:style w:type="character" w:customStyle="1" w:styleId="92">
    <w:name w:val="正文文本 3 Char"/>
    <w:basedOn w:val="32"/>
    <w:link w:val="14"/>
    <w:uiPriority w:val="0"/>
    <w:rPr>
      <w:rFonts w:ascii="Times New Roman" w:hAnsi="Times New Roman" w:eastAsia="宋体" w:cs="Times New Roman"/>
      <w:sz w:val="16"/>
      <w:szCs w:val="16"/>
    </w:rPr>
  </w:style>
  <w:style w:type="character" w:customStyle="1" w:styleId="93">
    <w:name w:val="标题 2 Char"/>
    <w:link w:val="3"/>
    <w:uiPriority w:val="0"/>
    <w:rPr>
      <w:rFonts w:ascii="Arial" w:hAnsi="Arial" w:eastAsia="黑体" w:cs="Times New Roman"/>
      <w:b/>
      <w:bCs/>
      <w:sz w:val="32"/>
      <w:szCs w:val="32"/>
      <w:lang w:val="zh-CN" w:eastAsia="zh-CN"/>
    </w:rPr>
  </w:style>
  <w:style w:type="character" w:customStyle="1" w:styleId="94">
    <w:name w:val="纯文本 Char"/>
    <w:link w:val="17"/>
    <w:qFormat/>
    <w:locked/>
    <w:uiPriority w:val="0"/>
    <w:rPr>
      <w:rFonts w:ascii="宋体" w:hAnsi="Courier New" w:eastAsia="宋体" w:cs="Times New Roman"/>
      <w:szCs w:val="21"/>
      <w:lang w:val="zh-CN" w:eastAsia="zh-CN"/>
    </w:rPr>
  </w:style>
  <w:style w:type="character" w:customStyle="1" w:styleId="95">
    <w:name w:val="批注文字 Char"/>
    <w:link w:val="13"/>
    <w:uiPriority w:val="0"/>
    <w:rPr>
      <w:rFonts w:ascii="Times New Roman" w:hAnsi="Times New Roman" w:eastAsia="宋体" w:cs="Times New Roman"/>
      <w:szCs w:val="24"/>
      <w:lang w:val="zh-CN" w:eastAsia="zh-CN"/>
    </w:rPr>
  </w:style>
  <w:style w:type="paragraph" w:customStyle="1" w:styleId="96">
    <w:name w:val="Char Char2 Char"/>
    <w:basedOn w:val="1"/>
    <w:uiPriority w:val="0"/>
    <w:rPr>
      <w:rFonts w:ascii="宋体" w:hAnsi="宋体"/>
      <w:b/>
      <w:sz w:val="28"/>
      <w:szCs w:val="28"/>
    </w:rPr>
  </w:style>
  <w:style w:type="character" w:customStyle="1" w:styleId="97">
    <w:name w:val="正文缩进 Char"/>
    <w:link w:val="11"/>
    <w:uiPriority w:val="0"/>
    <w:rPr>
      <w:rFonts w:ascii="Times New Roman" w:hAnsi="Times New Roman" w:eastAsia="宋体" w:cs="Times New Roman"/>
      <w:szCs w:val="21"/>
      <w:lang w:val="zh-CN" w:eastAsia="zh-CN"/>
    </w:rPr>
  </w:style>
  <w:style w:type="character" w:customStyle="1" w:styleId="98">
    <w:name w:val="脚注文本 字符"/>
    <w:basedOn w:val="32"/>
    <w:semiHidden/>
    <w:qFormat/>
    <w:uiPriority w:val="99"/>
    <w:rPr>
      <w:rFonts w:ascii="Times New Roman" w:hAnsi="Times New Roman" w:eastAsia="宋体" w:cs="Times New Roman"/>
      <w:sz w:val="18"/>
      <w:szCs w:val="18"/>
    </w:rPr>
  </w:style>
  <w:style w:type="character" w:customStyle="1" w:styleId="99">
    <w:name w:val="脚注文本 Char"/>
    <w:link w:val="24"/>
    <w:qFormat/>
    <w:uiPriority w:val="0"/>
    <w:rPr>
      <w:rFonts w:ascii="Times New Roman" w:hAnsi="Times New Roman" w:eastAsia="宋体" w:cs="Times New Roman"/>
      <w:kern w:val="0"/>
      <w:sz w:val="18"/>
      <w:szCs w:val="18"/>
      <w:lang w:val="zh-CN" w:eastAsia="zh-CN"/>
    </w:rPr>
  </w:style>
  <w:style w:type="character" w:customStyle="1" w:styleId="100">
    <w:name w:val="批注主题 Char"/>
    <w:link w:val="29"/>
    <w:qFormat/>
    <w:uiPriority w:val="0"/>
    <w:rPr>
      <w:rFonts w:ascii="Times New Roman" w:hAnsi="Times New Roman" w:eastAsia="宋体" w:cs="Times New Roman"/>
      <w:b/>
      <w:bCs/>
      <w:szCs w:val="24"/>
      <w:lang w:val="zh-CN" w:eastAsia="zh-CN"/>
    </w:rPr>
  </w:style>
  <w:style w:type="paragraph" w:customStyle="1" w:styleId="101">
    <w:name w:val="默认段落字体 Para Char"/>
    <w:basedOn w:val="1"/>
    <w:qFormat/>
    <w:uiPriority w:val="0"/>
  </w:style>
  <w:style w:type="paragraph" w:customStyle="1" w:styleId="102">
    <w:name w:val="Char Char Char Char Char Char Char Char Char Char"/>
    <w:basedOn w:val="1"/>
    <w:qFormat/>
    <w:uiPriority w:val="0"/>
    <w:rPr>
      <w:rFonts w:ascii="Tahoma" w:hAnsi="Tahoma"/>
      <w:sz w:val="24"/>
      <w:szCs w:val="20"/>
    </w:rPr>
  </w:style>
  <w:style w:type="paragraph" w:customStyle="1" w:styleId="103">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5">
    <w:name w:val="标题 字符"/>
    <w:basedOn w:val="32"/>
    <w:qFormat/>
    <w:uiPriority w:val="10"/>
    <w:rPr>
      <w:rFonts w:asciiTheme="majorHAnsi" w:hAnsiTheme="majorHAnsi" w:eastAsiaTheme="majorEastAsia" w:cstheme="majorBidi"/>
      <w:b/>
      <w:bCs/>
      <w:sz w:val="32"/>
      <w:szCs w:val="32"/>
    </w:rPr>
  </w:style>
  <w:style w:type="character" w:customStyle="1" w:styleId="106">
    <w:name w:val="标题 Char"/>
    <w:link w:val="28"/>
    <w:qFormat/>
    <w:uiPriority w:val="0"/>
    <w:rPr>
      <w:rFonts w:ascii="Cambria" w:hAnsi="Cambria" w:eastAsia="宋体" w:cs="Times New Roman"/>
      <w:b/>
      <w:bCs/>
      <w:kern w:val="0"/>
      <w:sz w:val="32"/>
      <w:szCs w:val="32"/>
      <w:lang w:val="zh-CN" w:eastAsia="zh-CN"/>
    </w:rPr>
  </w:style>
  <w:style w:type="character" w:customStyle="1" w:styleId="107">
    <w:name w:val="列出段落 Char"/>
    <w:link w:val="63"/>
    <w:qFormat/>
    <w:uiPriority w:val="34"/>
    <w:rPr>
      <w:rFonts w:eastAsia="黑体"/>
      <w:bCs/>
      <w:sz w:val="30"/>
      <w:szCs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7"/>
    <customShpInfo spid="_x0000_s1028"/>
    <customShpInfo spid="_x0000_s1026"/>
    <customShpInfo spid="_x0000_s1030"/>
    <customShpInfo spid="_x0000_s1031"/>
    <customShpInfo spid="_x0000_s1029"/>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4355</Words>
  <Characters>24824</Characters>
  <Lines>206</Lines>
  <Paragraphs>58</Paragraphs>
  <TotalTime>23</TotalTime>
  <ScaleCrop>false</ScaleCrop>
  <LinksUpToDate>false</LinksUpToDate>
  <CharactersWithSpaces>29121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2019-12-13T06:51:00Z</dcterms:created>
  <dc:creator>采联-汤燕芝</dc:creator>
  <cp:lastModifiedBy>User</cp:lastModifiedBy>
  <cp:lastPrinted>2019-12-23T03:05:00Z</cp:lastPrinted>
  <dcterms:modified xsi:type="dcterms:W3CDTF">2022-08-12T07:48:29Z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