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rPr>
          <w:rFonts w:hint="eastAsia" w:ascii="宋体" w:hAnsi="宋体" w:eastAsia="宋体" w:cs="宋体"/>
          <w:color w:val="auto"/>
          <w:lang w:val="zh-CN"/>
        </w:rPr>
      </w:pPr>
      <w:bookmarkStart w:id="0" w:name="_Toc391487835_WPSOffice_Level1"/>
      <w:bookmarkStart w:id="1" w:name="_Toc1371501501_WPSOffice_Level1"/>
      <w:r>
        <w:rPr>
          <w:rFonts w:hint="eastAsia" w:ascii="宋体" w:hAnsi="宋体" w:eastAsia="宋体" w:cs="宋体"/>
          <w:color w:val="auto"/>
          <w:lang w:val="zh-CN"/>
        </w:rPr>
        <w:t>A109000</w:t>
      </w:r>
      <w:r>
        <w:rPr>
          <w:rFonts w:hint="eastAsia" w:ascii="宋体" w:hAnsi="宋体" w:eastAsia="宋体" w:cs="宋体"/>
          <w:color w:val="auto"/>
          <w:lang w:val="zh-CN"/>
        </w:rPr>
        <w:tab/>
      </w:r>
      <w:r>
        <w:rPr>
          <w:rFonts w:hint="eastAsia" w:ascii="宋体" w:hAnsi="宋体" w:eastAsia="宋体" w:cs="宋体"/>
          <w:color w:val="auto"/>
          <w:lang w:val="zh-CN"/>
        </w:rPr>
        <w:t>跨地区经营汇总纳税企业年度分摊企业所得税明细表</w:t>
      </w:r>
      <w:bookmarkEnd w:id="0"/>
      <w:bookmarkEnd w:id="1"/>
    </w:p>
    <w:tbl>
      <w:tblPr>
        <w:tblStyle w:val="2"/>
        <w:tblW w:w="92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7"/>
        <w:gridCol w:w="7479"/>
        <w:gridCol w:w="10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行次</w:t>
            </w:r>
          </w:p>
        </w:tc>
        <w:tc>
          <w:tcPr>
            <w:tcW w:w="747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项目</w:t>
            </w:r>
          </w:p>
        </w:tc>
        <w:tc>
          <w:tcPr>
            <w:tcW w:w="106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一、实际应纳所得税额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减：境外所得应纳所得税额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加：境外所得抵免所得税额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二、用于分摊的本年实际应纳所得税额（1-2+3）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三、本年累计已预分、已分摊所得税额（6+7+8+9）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（一）总机构直接管理建筑项目部已预分所得税额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（二）总机构已分摊所得税额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（三）财政集中已分配所得税额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（四）分支机构已分摊所得税额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945" w:leftChars="4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其中：总机构主体生产经营部门已分摊所得税额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四、本年度应分摊的应补（退）的所得税额（4-5）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（一）总机构分摊本年应补（退）的所得税额（11×总机构分摊比例）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（二）财政集中分配本年应补（退）的所得税额（11×财政集中分配比例）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315" w:leftChars="1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（三）分支机构分摊本年应补（退）的所得税额（11×分支机构分摊比例）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945" w:leftChars="45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其中：总机构主体生产经营部门分摊本年应补（退）的所得税额（11×总机构主体生产经营部门分摊比例）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五、境外所得抵免后的应纳所得税额（2-3）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六、总机构本年应补（退）所得税额（12+13+15+16）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七、总机构应享受民族地方优惠金额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（7+10+12+15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+16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）×40%×减征幅度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"/>
              </w:rPr>
              <w:t>]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总机构全年累计已享受民族地方优惠金额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总机构因民族地方优惠调整分配金额（18-19）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21</w:t>
            </w:r>
          </w:p>
        </w:tc>
        <w:tc>
          <w:tcPr>
            <w:tcW w:w="747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八、总机构本年实际应补（退）所得税额（17-20)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7CB0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BF7CB0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  <w:rsid w:val="4DECE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BBT1"/>
    <w:basedOn w:val="1"/>
    <w:qFormat/>
    <w:uiPriority w:val="0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customStyle="1" w:styleId="5">
    <w:name w:val="SBBZW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  <w:szCs w:val="24"/>
    </w:rPr>
  </w:style>
  <w:style w:type="paragraph" w:customStyle="1" w:styleId="6">
    <w:name w:val="表格1级"/>
    <w:basedOn w:val="1"/>
    <w:qFormat/>
    <w:uiPriority w:val="0"/>
    <w:pPr>
      <w:tabs>
        <w:tab w:val="left" w:pos="210"/>
        <w:tab w:val="center" w:pos="4620"/>
      </w:tabs>
      <w:spacing w:before="50" w:beforeLines="50" w:after="50" w:afterLines="50"/>
      <w:jc w:val="center"/>
      <w:outlineLvl w:val="0"/>
    </w:pPr>
    <w:rPr>
      <w:rFonts w:ascii="Times New Roman" w:hAnsi="Times New Roman" w:eastAsia="CESI宋体-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2021-01-06T11:04:00Z</dcterms:created>
  <dc:creator>宁强</dc:creator>
  <cp:lastModifiedBy>宁强</cp:lastModifiedBy>
  <dcterms:modified xsi:type="dcterms:W3CDTF">2022-01-06T15:26:00Z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