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bookmarkStart w:id="0" w:name="_Toc1507336564_WPSOffice_Level1"/>
      <w:bookmarkStart w:id="1" w:name="_Toc123222307"/>
      <w:r>
        <w:rPr>
          <w:rFonts w:hint="eastAsia"/>
        </w:rPr>
        <w:t>A107010</w:t>
      </w:r>
      <w:r>
        <w:rPr>
          <w:rFonts w:hint="eastAsia"/>
        </w:rPr>
        <w:tab/>
      </w:r>
      <w:r>
        <w:rPr>
          <w:rFonts w:hint="eastAsia"/>
        </w:rPr>
        <w:t>免税、减计收入及加计扣除优惠明细表</w:t>
      </w:r>
      <w:bookmarkEnd w:id="0"/>
      <w:bookmarkEnd w:id="1"/>
    </w:p>
    <w:tbl>
      <w:tblPr>
        <w:tblStyle w:val="3"/>
        <w:tblW w:w="995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3"/>
        <w:gridCol w:w="8079"/>
        <w:gridCol w:w="10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823" w:type="dxa"/>
            <w:tcBorders>
              <w:top w:val="single" w:color="auto" w:sz="12"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行次</w:t>
            </w:r>
          </w:p>
        </w:tc>
        <w:tc>
          <w:tcPr>
            <w:tcW w:w="8079" w:type="dxa"/>
            <w:tcBorders>
              <w:top w:val="single" w:color="auto" w:sz="12" w:space="0"/>
              <w:left w:val="single" w:color="auto" w:sz="6"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项    目</w:t>
            </w:r>
          </w:p>
        </w:tc>
        <w:tc>
          <w:tcPr>
            <w:tcW w:w="1052" w:type="dxa"/>
            <w:tcBorders>
              <w:top w:val="single" w:color="auto" w:sz="12"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金    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一、免税收入（2+3+9+…+16）</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（一）国债利息收入免征企业所得税</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left="993" w:leftChars="190" w:hanging="594" w:hangingChars="297"/>
              <w:jc w:val="left"/>
              <w:rPr>
                <w:rFonts w:ascii="宋体" w:hAnsi="宋体" w:cs="宋体"/>
                <w:kern w:val="0"/>
                <w:sz w:val="20"/>
                <w:szCs w:val="20"/>
              </w:rPr>
            </w:pPr>
            <w:r>
              <w:rPr>
                <w:rFonts w:hint="eastAsia" w:ascii="宋体" w:hAnsi="宋体" w:cs="宋体"/>
                <w:kern w:val="0"/>
                <w:sz w:val="20"/>
                <w:szCs w:val="20"/>
              </w:rPr>
              <w:t>（二）符合条件的居民企业之间的股息、红利等权益性投资收益免征企业所得税（4+5+6+7+8）</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left="1411" w:leftChars="211" w:hanging="968" w:hangingChars="484"/>
              <w:jc w:val="left"/>
              <w:rPr>
                <w:rFonts w:ascii="宋体" w:hAnsi="宋体" w:cs="宋体"/>
                <w:kern w:val="0"/>
                <w:sz w:val="20"/>
                <w:szCs w:val="20"/>
              </w:rPr>
            </w:pPr>
            <w:r>
              <w:rPr>
                <w:rFonts w:hint="eastAsia" w:ascii="宋体" w:hAnsi="宋体" w:cs="宋体"/>
                <w:kern w:val="0"/>
                <w:sz w:val="20"/>
                <w:szCs w:val="20"/>
              </w:rPr>
              <w:t xml:space="preserve">    1.一般股息红利等权益性投资收益免征企业所得税（填写A107011）</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left="1009" w:leftChars="210" w:hanging="568" w:hangingChars="284"/>
              <w:jc w:val="left"/>
              <w:rPr>
                <w:rFonts w:ascii="宋体" w:hAnsi="宋体" w:cs="宋体"/>
                <w:kern w:val="0"/>
                <w:sz w:val="20"/>
                <w:szCs w:val="20"/>
              </w:rPr>
            </w:pPr>
            <w:r>
              <w:rPr>
                <w:rFonts w:hint="eastAsia" w:ascii="宋体" w:hAnsi="宋体" w:cs="宋体"/>
                <w:kern w:val="0"/>
                <w:sz w:val="20"/>
                <w:szCs w:val="20"/>
              </w:rPr>
              <w:t xml:space="preserve">    2.内地居民企业通过沪港通投资且连续持有H股满12个月取得的股息红利所得免征企业所得税（填写A107011）</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left="1009" w:leftChars="210" w:hanging="568" w:hangingChars="284"/>
              <w:jc w:val="left"/>
              <w:rPr>
                <w:rFonts w:ascii="宋体" w:hAnsi="宋体" w:cs="宋体"/>
                <w:kern w:val="0"/>
                <w:sz w:val="20"/>
                <w:szCs w:val="20"/>
              </w:rPr>
            </w:pPr>
            <w:r>
              <w:rPr>
                <w:rFonts w:hint="eastAsia" w:ascii="宋体" w:hAnsi="宋体" w:cs="宋体"/>
                <w:kern w:val="0"/>
                <w:sz w:val="20"/>
                <w:szCs w:val="20"/>
              </w:rPr>
              <w:t xml:space="preserve">    3.内地居民企业通过深港通投资且连续持有H股满12个月取得的股息红利所得免征企业所得税（填写A107011）</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left="1151" w:leftChars="210" w:hanging="710" w:hangingChars="355"/>
              <w:jc w:val="left"/>
              <w:rPr>
                <w:rFonts w:ascii="宋体" w:hAnsi="宋体" w:cs="宋体"/>
                <w:kern w:val="0"/>
                <w:sz w:val="20"/>
                <w:szCs w:val="20"/>
              </w:rPr>
            </w:pPr>
            <w:r>
              <w:rPr>
                <w:rFonts w:hint="eastAsia" w:ascii="宋体" w:hAnsi="宋体" w:cs="宋体"/>
                <w:kern w:val="0"/>
                <w:sz w:val="20"/>
                <w:szCs w:val="20"/>
              </w:rPr>
              <w:t xml:space="preserve">    4.居民企业持有创新企业CDR取得的股息红利所得免征企业所得税（填写A107011）</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left="1411" w:leftChars="211" w:hanging="968" w:hangingChars="484"/>
              <w:jc w:val="left"/>
              <w:rPr>
                <w:rFonts w:ascii="宋体" w:hAnsi="宋体" w:cs="宋体"/>
                <w:kern w:val="0"/>
                <w:sz w:val="20"/>
                <w:szCs w:val="20"/>
              </w:rPr>
            </w:pPr>
            <w:r>
              <w:rPr>
                <w:rFonts w:hint="eastAsia" w:ascii="宋体" w:hAnsi="宋体" w:cs="宋体"/>
                <w:kern w:val="0"/>
                <w:sz w:val="20"/>
                <w:szCs w:val="20"/>
              </w:rPr>
              <w:t xml:space="preserve">    5.符合条件的永续债利息收入免征企业所得税（填写A107011）</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（三）符合条件的非营利组织的收入免征企业所得税</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（四）中国清洁发展机制基金取得的收入免征企业所得税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（五）投资者从证券投资基金分配中取得的收入免征企业所得税</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（六）取得的地方政府债券利息收入免征企业所得税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13</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（七）中国保险保障基金有限责任公司取得的保险保障基金等收入免征企业所得税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14</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（八）中国奥委会取得北京冬奥组委支付的收入免征企业所得税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15</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（九）中国残奥委会取得北京冬奥组委分期支付的收入免征企业所得税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16</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（十）其他（16.1+16.2）</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16.1</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1.取得的基础研究资金收入免征企业所得税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16.2</w:t>
            </w:r>
          </w:p>
        </w:tc>
        <w:tc>
          <w:tcPr>
            <w:tcW w:w="8079" w:type="dxa"/>
            <w:tcBorders>
              <w:top w:val="single" w:color="auto" w:sz="6" w:space="0"/>
              <w:left w:val="single" w:color="auto" w:sz="6" w:space="0"/>
              <w:bottom w:val="single" w:color="auto" w:sz="6" w:space="0"/>
              <w:right w:val="single" w:color="auto" w:sz="6" w:space="0"/>
            </w:tcBorders>
            <w:shd w:val="clear" w:color="000000" w:fill="FFFFFF"/>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2.其他</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17</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二、减计收入（18+19+23+24）</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18</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（一）综合利用资源生产产品取得的收入在计算应纳税所得额时减计收入</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19</w:t>
            </w:r>
          </w:p>
        </w:tc>
        <w:tc>
          <w:tcPr>
            <w:tcW w:w="807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（二）金融、保险等机构取得的涉农利息、保费减计收入（20+21+22）</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807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1.金融机构取得的涉农贷款利息收入在计算应纳税所得额时减计收入</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21</w:t>
            </w:r>
          </w:p>
        </w:tc>
        <w:tc>
          <w:tcPr>
            <w:tcW w:w="807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2.保险机构取得的涉农保费收入在计算应纳税所得额时减计收入</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22</w:t>
            </w:r>
          </w:p>
        </w:tc>
        <w:tc>
          <w:tcPr>
            <w:tcW w:w="807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3.小额贷款公司取得的农户小额贷款利息收入在计算应纳税所得额时减计收入</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23</w:t>
            </w:r>
          </w:p>
        </w:tc>
        <w:tc>
          <w:tcPr>
            <w:tcW w:w="807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（三）取得铁路债券利息收入减半征收企业所得税</w:t>
            </w:r>
          </w:p>
        </w:tc>
        <w:tc>
          <w:tcPr>
            <w:tcW w:w="1052" w:type="dxa"/>
            <w:tcBorders>
              <w:top w:val="single" w:color="auto" w:sz="6" w:space="0"/>
              <w:left w:val="single" w:color="auto" w:sz="6" w:space="0"/>
              <w:bottom w:val="single" w:color="auto" w:sz="6" w:space="0"/>
              <w:right w:val="single" w:color="auto" w:sz="12" w:space="0"/>
            </w:tcBorders>
            <w:shd w:val="clear" w:color="000000" w:fill="FFFFFF"/>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（四）其他（24.1+24.2）</w:t>
            </w:r>
          </w:p>
        </w:tc>
        <w:tc>
          <w:tcPr>
            <w:tcW w:w="1052" w:type="dxa"/>
            <w:tcBorders>
              <w:top w:val="single" w:color="auto" w:sz="6" w:space="0"/>
              <w:left w:val="single" w:color="auto" w:sz="6" w:space="0"/>
              <w:bottom w:val="single" w:color="auto" w:sz="6" w:space="0"/>
              <w:right w:val="single" w:color="auto" w:sz="12" w:space="0"/>
            </w:tcBorders>
            <w:noWrap/>
            <w:vAlign w:val="bottom"/>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24.1</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 xml:space="preserve">    1.取得的社区家庭服务收入在计算应纳税所得额时减计收入</w:t>
            </w:r>
          </w:p>
        </w:tc>
        <w:tc>
          <w:tcPr>
            <w:tcW w:w="1052" w:type="dxa"/>
            <w:tcBorders>
              <w:top w:val="single" w:color="auto" w:sz="6" w:space="0"/>
              <w:left w:val="single" w:color="auto" w:sz="6" w:space="0"/>
              <w:bottom w:val="single" w:color="auto" w:sz="6" w:space="0"/>
              <w:right w:val="single" w:color="auto" w:sz="12" w:space="0"/>
            </w:tcBorders>
            <w:noWrap/>
            <w:vAlign w:val="bottom"/>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24.2</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 xml:space="preserve">    2.其他</w:t>
            </w:r>
          </w:p>
        </w:tc>
        <w:tc>
          <w:tcPr>
            <w:tcW w:w="1052" w:type="dxa"/>
            <w:tcBorders>
              <w:top w:val="single" w:color="auto" w:sz="6" w:space="0"/>
              <w:left w:val="single" w:color="auto" w:sz="6" w:space="0"/>
              <w:bottom w:val="single" w:color="auto" w:sz="6" w:space="0"/>
              <w:right w:val="single" w:color="auto" w:sz="12" w:space="0"/>
            </w:tcBorders>
            <w:noWrap/>
            <w:vAlign w:val="bottom"/>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25</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三、加计扣除（26+27+28+29+30）</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26</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（一）开发新技术、新产品、新工艺发生的研究开发费用加计扣除（填写A107012）</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27</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left="993" w:leftChars="190" w:hanging="594" w:hangingChars="297"/>
              <w:jc w:val="left"/>
              <w:rPr>
                <w:rFonts w:ascii="宋体" w:hAnsi="宋体" w:cs="宋体"/>
                <w:kern w:val="0"/>
                <w:sz w:val="20"/>
                <w:szCs w:val="20"/>
              </w:rPr>
            </w:pPr>
            <w:r>
              <w:rPr>
                <w:rFonts w:hint="eastAsia" w:ascii="宋体" w:hAnsi="宋体" w:cs="宋体"/>
                <w:kern w:val="0"/>
                <w:sz w:val="20"/>
                <w:szCs w:val="20"/>
              </w:rPr>
              <w:t>（二）科技型中小企业开发新技术、新产品、新工艺发生的研究开发费用加计扣除（填写A107012）</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left="993" w:leftChars="190" w:hanging="594" w:hangingChars="297"/>
              <w:jc w:val="left"/>
              <w:rPr>
                <w:rFonts w:ascii="宋体" w:hAnsi="宋体" w:cs="宋体"/>
                <w:kern w:val="0"/>
                <w:sz w:val="20"/>
                <w:szCs w:val="20"/>
                <w:lang w:val="en"/>
              </w:rPr>
            </w:pPr>
            <w:r>
              <w:rPr>
                <w:rFonts w:hint="eastAsia" w:ascii="宋体" w:hAnsi="宋体" w:cs="宋体"/>
                <w:kern w:val="0"/>
                <w:sz w:val="20"/>
                <w:szCs w:val="20"/>
              </w:rPr>
              <w:t>（三）企业为获得创新性、创意性、突破性的产品进行创意设计活动而发生的相关费用加计扣除（加计扣除比例及计算方法：</w:t>
            </w:r>
            <w:r>
              <w:rPr>
                <w:rFonts w:ascii="宋体" w:hAnsi="宋体" w:cs="宋体"/>
                <w:kern w:val="0"/>
                <w:sz w:val="20"/>
                <w:szCs w:val="20"/>
                <w:lang w:val="en"/>
              </w:rPr>
              <w:t>_____</w:t>
            </w:r>
            <w:r>
              <w:rPr>
                <w:rFonts w:hint="eastAsia" w:ascii="宋体" w:hAnsi="宋体" w:cs="宋体"/>
                <w:kern w:val="0"/>
                <w:sz w:val="20"/>
                <w:szCs w:val="20"/>
              </w:rPr>
              <w:t>）</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28.1</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其中：第四季度相关费用加计扣除</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28.2</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1400" w:firstLineChars="700"/>
              <w:jc w:val="left"/>
              <w:rPr>
                <w:rFonts w:ascii="宋体" w:hAnsi="宋体" w:cs="宋体"/>
                <w:kern w:val="0"/>
                <w:sz w:val="20"/>
                <w:szCs w:val="20"/>
              </w:rPr>
            </w:pPr>
            <w:r>
              <w:rPr>
                <w:rFonts w:hint="eastAsia" w:ascii="宋体" w:hAnsi="宋体" w:cs="宋体"/>
                <w:kern w:val="0"/>
                <w:sz w:val="20"/>
                <w:szCs w:val="20"/>
              </w:rPr>
              <w:t>前三季度相关费用加计扣除</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29</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（四）安置残疾人员所支付的工资加计扣除</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（五）其他（30.1+30.2+30.3）</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30.1</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400" w:firstLineChars="200"/>
              <w:jc w:val="left"/>
              <w:rPr>
                <w:rFonts w:ascii="宋体" w:hAnsi="宋体" w:cs="宋体"/>
                <w:kern w:val="0"/>
                <w:sz w:val="20"/>
                <w:szCs w:val="20"/>
              </w:rPr>
            </w:pPr>
            <w:r>
              <w:rPr>
                <w:rFonts w:hint="eastAsia" w:ascii="宋体" w:hAnsi="宋体" w:cs="宋体"/>
                <w:kern w:val="0"/>
                <w:sz w:val="20"/>
                <w:szCs w:val="20"/>
              </w:rPr>
              <w:t xml:space="preserve">    1.企业投入基础研究支出加计扣除</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30.2</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2.高新技术企业设备器具加计扣除</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6"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30.3</w:t>
            </w:r>
          </w:p>
        </w:tc>
        <w:tc>
          <w:tcPr>
            <w:tcW w:w="8079" w:type="dxa"/>
            <w:tcBorders>
              <w:top w:val="single" w:color="auto" w:sz="6" w:space="0"/>
              <w:left w:val="single" w:color="auto" w:sz="6" w:space="0"/>
              <w:bottom w:val="single" w:color="auto" w:sz="6" w:space="0"/>
              <w:right w:val="single" w:color="auto" w:sz="6" w:space="0"/>
            </w:tcBorders>
            <w:noWrap/>
            <w:vAlign w:val="center"/>
          </w:tcPr>
          <w:p>
            <w:pPr>
              <w:widowControl/>
              <w:ind w:firstLine="800" w:firstLineChars="400"/>
              <w:jc w:val="left"/>
              <w:rPr>
                <w:rFonts w:ascii="宋体" w:hAnsi="宋体" w:cs="宋体"/>
                <w:kern w:val="0"/>
                <w:sz w:val="20"/>
                <w:szCs w:val="20"/>
              </w:rPr>
            </w:pPr>
            <w:r>
              <w:rPr>
                <w:rFonts w:hint="eastAsia" w:ascii="宋体" w:hAnsi="宋体" w:cs="宋体"/>
                <w:kern w:val="0"/>
                <w:sz w:val="20"/>
                <w:szCs w:val="20"/>
              </w:rPr>
              <w:t>3.其他</w:t>
            </w:r>
          </w:p>
        </w:tc>
        <w:tc>
          <w:tcPr>
            <w:tcW w:w="1052" w:type="dxa"/>
            <w:tcBorders>
              <w:top w:val="single" w:color="auto" w:sz="6" w:space="0"/>
              <w:left w:val="single" w:color="auto" w:sz="6" w:space="0"/>
              <w:bottom w:val="single" w:color="auto" w:sz="6" w:space="0"/>
              <w:right w:val="single" w:color="auto" w:sz="12" w:space="0"/>
            </w:tcBorders>
            <w:noWrap/>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23" w:type="dxa"/>
            <w:tcBorders>
              <w:top w:val="single" w:color="auto" w:sz="6" w:space="0"/>
              <w:left w:val="single" w:color="auto" w:sz="12" w:space="0"/>
              <w:bottom w:val="single" w:color="auto" w:sz="12" w:space="0"/>
              <w:right w:val="single" w:color="auto" w:sz="6"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31</w:t>
            </w:r>
          </w:p>
        </w:tc>
        <w:tc>
          <w:tcPr>
            <w:tcW w:w="8079" w:type="dxa"/>
            <w:tcBorders>
              <w:top w:val="single" w:color="auto" w:sz="6" w:space="0"/>
              <w:left w:val="single" w:color="auto" w:sz="6" w:space="0"/>
              <w:bottom w:val="single" w:color="auto" w:sz="12" w:space="0"/>
              <w:right w:val="single" w:color="auto" w:sz="6"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合计（1+17+25）</w:t>
            </w:r>
          </w:p>
        </w:tc>
        <w:tc>
          <w:tcPr>
            <w:tcW w:w="1052" w:type="dxa"/>
            <w:tcBorders>
              <w:top w:val="single" w:color="auto" w:sz="6" w:space="0"/>
              <w:left w:val="single" w:color="auto" w:sz="6" w:space="0"/>
              <w:bottom w:val="single" w:color="auto" w:sz="12" w:space="0"/>
              <w:right w:val="single" w:color="auto" w:sz="12" w:space="0"/>
            </w:tcBorders>
            <w:noWrap/>
            <w:vAlign w:val="center"/>
          </w:tcPr>
          <w:p>
            <w:pPr>
              <w:widowControl/>
              <w:jc w:val="center"/>
              <w:rPr>
                <w:rFonts w:ascii="宋体" w:hAnsi="宋体" w:cs="宋体"/>
                <w:kern w:val="0"/>
                <w:sz w:val="20"/>
                <w:szCs w:val="20"/>
              </w:rPr>
            </w:pPr>
          </w:p>
        </w:tc>
      </w:tr>
    </w:tbl>
    <w:p>
      <w:bookmarkStart w:id="2" w:name="_GoBack"/>
      <w:bookmarkEnd w:id="2"/>
    </w:p>
    <w:sectPr>
      <w:pgSz w:w="11906" w:h="16838"/>
      <w:pgMar w:top="851"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6C70"/>
    <w:rsid w:val="0001336A"/>
    <w:rsid w:val="0001446F"/>
    <w:rsid w:val="00033740"/>
    <w:rsid w:val="0008549C"/>
    <w:rsid w:val="000962AA"/>
    <w:rsid w:val="000D72D4"/>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BF6C70"/>
    <w:rsid w:val="00C25031"/>
    <w:rsid w:val="00C607E2"/>
    <w:rsid w:val="00C77BCB"/>
    <w:rsid w:val="00C968BD"/>
    <w:rsid w:val="00CD6383"/>
    <w:rsid w:val="00D168B7"/>
    <w:rsid w:val="00D831E4"/>
    <w:rsid w:val="00D906A8"/>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 w:val="7DFF13D2"/>
    <w:rsid w:val="EFBDA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TableOfAuthoring"/>
    <w:basedOn w:val="1"/>
    <w:next w:val="1"/>
    <w:qFormat/>
    <w:uiPriority w:val="0"/>
    <w:pPr>
      <w:ind w:left="420" w:leftChars="200"/>
    </w:pPr>
  </w:style>
  <w:style w:type="paragraph" w:customStyle="1" w:styleId="5">
    <w:name w:val="SBBT1"/>
    <w:basedOn w:val="6"/>
    <w:qFormat/>
    <w:uiPriority w:val="0"/>
    <w:pPr>
      <w:tabs>
        <w:tab w:val="center" w:pos="4678"/>
      </w:tabs>
      <w:spacing w:line="360" w:lineRule="auto"/>
      <w:outlineLvl w:val="0"/>
    </w:pPr>
    <w:rPr>
      <w:rFonts w:ascii="宋体" w:hAnsi="宋体" w:cs="宋体"/>
      <w:b/>
      <w:bCs/>
      <w:sz w:val="28"/>
      <w:szCs w:val="28"/>
    </w:rPr>
  </w:style>
  <w:style w:type="paragraph" w:customStyle="1" w:styleId="6">
    <w:name w:val="SBBZW"/>
    <w:basedOn w:val="1"/>
    <w:qFormat/>
    <w:uiPriority w:val="0"/>
    <w:pPr>
      <w:spacing w:line="360" w:lineRule="auto"/>
      <w:ind w:firstLine="480" w:firstLineChars="200"/>
    </w:pPr>
    <w:rPr>
      <w:rFonts w:ascii="宋体" w:hAnsi="宋体" w:cs="宋体"/>
      <w:sz w:val="24"/>
    </w:rPr>
  </w:style>
  <w:style w:type="paragraph" w:customStyle="1" w:styleId="7">
    <w:name w:val="表格1级"/>
    <w:basedOn w:val="1"/>
    <w:qFormat/>
    <w:uiPriority w:val="0"/>
    <w:pPr>
      <w:tabs>
        <w:tab w:val="left" w:pos="210"/>
        <w:tab w:val="center" w:pos="4620"/>
      </w:tabs>
      <w:spacing w:before="50" w:beforeLines="50" w:after="50" w:afterLines="50"/>
      <w:jc w:val="center"/>
      <w:outlineLvl w:val="0"/>
    </w:pPr>
    <w:rPr>
      <w:rFonts w:ascii="Times New Roman" w:hAnsi="Times New Roman" w:eastAsia="CESI宋体-GB2312"/>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182</Words>
  <Characters>1041</Characters>
  <Lines>8</Lines>
  <Paragraphs>2</Paragraphs>
  <TotalTime>0</TotalTime>
  <ScaleCrop>false</ScaleCrop>
  <LinksUpToDate>false</LinksUpToDate>
  <CharactersWithSpaces>1221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2021-01-06T18:51:00Z</dcterms:created>
  <dc:creator>宁强</dc:creator>
  <cp:lastModifiedBy>NQ</cp:lastModifiedBy>
  <dcterms:modified xsi:type="dcterms:W3CDTF">2023-01-12T10:33:00Z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