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93" w:rsidRPr="00592B29" w:rsidRDefault="00B34493" w:rsidP="00B34493">
      <w:pPr>
        <w:pStyle w:val="SBBT1"/>
      </w:pPr>
      <w:bookmarkStart w:id="0" w:name="_Toc499456565"/>
      <w:r w:rsidRPr="00592B29">
        <w:rPr>
          <w:rFonts w:hint="eastAsia"/>
        </w:rPr>
        <w:t>A103000</w:t>
      </w:r>
      <w:r>
        <w:tab/>
      </w:r>
      <w:r w:rsidRPr="00454B8C">
        <w:rPr>
          <w:rFonts w:hint="eastAsia"/>
        </w:rPr>
        <w:t>事业单位、民间非营利组织收入、支出明细表</w:t>
      </w:r>
      <w:bookmarkEnd w:id="0"/>
    </w:p>
    <w:tbl>
      <w:tblPr>
        <w:tblW w:w="89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4880"/>
        <w:gridCol w:w="3420"/>
      </w:tblGrid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金    额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一、事业单位收入（2+3+4+5+6+7）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（一）财政补助收入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（二）事业收入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（三）上级补助收入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（四）附属单位上缴收入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（五）经营收入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（六）其他收入（8+9）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500" w:firstLine="10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其中：投资收益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800" w:firstLine="16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二、民间非营利组织收入(11+12+13+14+15+16+17)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（一）接受捐赠收入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（二）会费收入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（三）提供劳务收入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（四）商品销售收入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（五）政府补助收入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（六）投资收益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（七）其他收入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三、事业单位支出（19+20+21+22+23）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（一）事业支出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（二）上缴上级支出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（三）对附属单位补助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支出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（四）经营支出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（五）其他支出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四、民间非营利组织支出（25+26+27+28）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（一）业务活动成本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（二）管理费用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（三）筹资费用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4493" w:rsidRPr="00592B29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488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（四）其他费用</w:t>
            </w:r>
          </w:p>
        </w:tc>
        <w:tc>
          <w:tcPr>
            <w:tcW w:w="3420" w:type="dxa"/>
            <w:shd w:val="clear" w:color="auto" w:fill="auto"/>
            <w:noWrap/>
            <w:vAlign w:val="center"/>
          </w:tcPr>
          <w:p w:rsidR="00B34493" w:rsidRPr="00592B29" w:rsidRDefault="00B34493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4493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B34493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93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B34493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>Lenovo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2021-01-06T02:38:00Z</dcterms:created>
  <dcterms:modified xsi:type="dcterms:W3CDTF">2021-01-06T02:38:00Z</dcterms:modified>
</cp:coreProperties>
</file>