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58" w:rsidRDefault="00027B58" w:rsidP="00027B58">
      <w:pPr>
        <w:pStyle w:val="SBBT1"/>
      </w:pPr>
      <w:bookmarkStart w:id="0" w:name="_Toc499456557"/>
      <w:r w:rsidRPr="00297293">
        <w:rPr>
          <w:rFonts w:hint="eastAsia"/>
        </w:rPr>
        <w:t>A101010</w:t>
      </w:r>
      <w:r>
        <w:tab/>
      </w:r>
      <w:r w:rsidRPr="00454B8C">
        <w:rPr>
          <w:rFonts w:hint="eastAsia"/>
        </w:rPr>
        <w:t>一般企业收入明细表</w:t>
      </w:r>
      <w:bookmarkEnd w:id="0"/>
    </w:p>
    <w:tbl>
      <w:tblPr>
        <w:tblW w:w="96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20"/>
        <w:gridCol w:w="6760"/>
        <w:gridCol w:w="2300"/>
      </w:tblGrid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leftChars="1200" w:left="2520" w:rightChars="1200" w:right="2520"/>
              <w:jc w:val="distribute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27B58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2192"/>
              </w:rPr>
              <w:t>金</w:t>
            </w:r>
            <w:r w:rsidRPr="00027B58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2192"/>
              </w:rPr>
              <w:t>额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一、营业收入（2+9）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（一）主营业务收入（3+5+6+7+8）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1.销售商品收入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其中：非货币性资产交换收入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2.提供劳务收入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3.建造合同收入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4.让渡资产使用权收入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（二）其他业务收入（10+12+13+14+15）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425D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25D93">
              <w:rPr>
                <w:rFonts w:ascii="宋体" w:hAnsi="宋体" w:cs="宋体" w:hint="eastAsia"/>
                <w:kern w:val="0"/>
                <w:sz w:val="20"/>
                <w:szCs w:val="20"/>
              </w:rPr>
              <w:t>1.销售材料收入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其中：非货币性资产交换收入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2.出租固定资产收入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3.出租无形资产收入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4.出租包装物和商品收入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二、营业外收入（17+18+19+20+21+22+23+24+25+26）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（一）非流动资产处置利得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（二）非货币性资产交换利得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（三）债务重组利得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（四）政府补助利得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（五）盘盈利得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（六）捐赠利得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（七）罚没利得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（八）确实无法偿付的应付款项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（九）汇兑收益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（十）其他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7B58"/>
    <w:rsid w:val="0001336A"/>
    <w:rsid w:val="0001446F"/>
    <w:rsid w:val="00027B58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58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027B58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2021-01-06T02:36:00Z</dcterms:created>
  <dcterms:modified xsi:type="dcterms:W3CDTF">2021-01-06T02:36:00Z</dcterms:modified>
</cp:coreProperties>
</file>