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bookmarkStart w:id="0" w:name="_Toc123222309"/>
      <w:bookmarkStart w:id="1" w:name="_Toc648370530_WPSOffice_Level1"/>
      <w:r>
        <w:rPr>
          <w:rFonts w:hint="eastAsia"/>
        </w:rPr>
        <w:t>A107012</w:t>
      </w:r>
      <w:r>
        <w:rPr>
          <w:rFonts w:hint="eastAsia"/>
        </w:rPr>
        <w:tab/>
      </w:r>
      <w:r>
        <w:rPr>
          <w:rFonts w:hint="eastAsia"/>
        </w:rPr>
        <w:t>研发费用加计扣除优惠明细表</w:t>
      </w:r>
      <w:bookmarkEnd w:id="0"/>
      <w:bookmarkEnd w:id="1"/>
    </w:p>
    <w:tbl>
      <w:tblPr>
        <w:tblStyle w:val="3"/>
        <w:tblW w:w="97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7837"/>
        <w:gridCol w:w="11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行次</w:t>
            </w:r>
          </w:p>
        </w:tc>
        <w:tc>
          <w:tcPr>
            <w:tcW w:w="783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6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金额（数量）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本年可享受研发费用加计扣除项目数量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一、自主研发、合作研发、集中研发（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3+7+16+19+23+34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（一）人员人工费用（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4+5+6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直接从事研发活动人员工资薪金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直接从事研发活动人员五险一金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外聘研发人员的劳务费用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（二）直接投入费用（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8+9+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10+11+12+13+14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+15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研发活动直接消耗材料费用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研发活动直接消耗燃料费用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研发活动直接消耗动力费用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用于中间试验和产品试制的模具、工艺装备开发及制造费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用于不构成固定资产的样品、样机及一般测试手段购置费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用于试制产品的检验费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用于研发活动的仪器、设备的运行维护、调整、检验、维修等费用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通过经营租赁方式租入的用于研发活动的仪器、设备租赁费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（三）折旧费用（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17+18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用于研发活动的仪器的折旧费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用于研发活动的设备的折旧费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（四）无形资产摊销（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20+21+22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用于研发活动的软件的摊销费用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用于研发活动的专利权的摊销费用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left="1014" w:leftChars="381" w:hanging="214" w:hangingChars="107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用于研发活动的非专利技术（包括许可证、专有技术、设计和计算方法等）的摊销费用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（五）新产品设计费等（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24+25+26+27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新产品设计费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新工艺规程制定费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26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新药研制的临床试验费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27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勘探开发技术的现场试验费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28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（六）其他相关费用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(29+30+31+32+33)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29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技术图书资料费、资料翻译费、专家咨询费、高新科技研发保险费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研发成果的检索、分析、评议、论证、鉴定、评审、评估、验收费用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知识产权的申请费、注册费、代理费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职工福利费、补充养老保险费、补充医疗保险费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33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差旅费、会议费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34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（七）经限额调整后的其他相关费用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二、委托研发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(36+37+39)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36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17" w:firstLineChars="209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（一）委托境内机构或个人进行研发活动所发生的费用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37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17" w:firstLineChars="209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（二）委托境外机构进行研发活动发生的费用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其中：允许加计扣除的委托境外机构进行研发活动发生的费用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39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17" w:firstLineChars="209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（三）委托境外个人进行研发活动发生的费用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三、年度研发费用小计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(2+36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80%+38)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（一）本年费用化金额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（二）本年资本化金额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四、本年形成无形资产摊销额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44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五、以前年度形成无形资产本年摊销额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45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六、允许扣除的研发费用合计（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41+43+44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46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减：特殊收入部分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47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七、允许扣除的研发费用抵减特殊收入后的金额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(45-46)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减：当年销售研发活动直接形成产品（包括组成部分）对应的材料部分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49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减：以前年度销售研发活动直接形成产品（包括组成部分）对应材料部分结转金额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八、加计扣除比例及计算方法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L1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本年允许加计扣除的研发费用总额（47-48-49）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L1.1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firstLine="800" w:firstLineChars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其中：第四季度允许加计扣除的研发费用金额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L1.2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前三季度允许加计扣除的研发费用金额（L1-L1.1）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51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九、本年研发费用加计扣除总额（47-48-49）×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52</w:t>
            </w:r>
          </w:p>
        </w:tc>
        <w:tc>
          <w:tcPr>
            <w:tcW w:w="783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ind w:left="384" w:hanging="384" w:hangingChars="192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十、销售研发活动直接形成产品（包括组成部分）对应材料部分结转以后年度扣减金额（当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＝0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；当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47-48-49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＝47-48-49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的绝对值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5C9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235C9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7F7A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OfAuthoring"/>
    <w:basedOn w:val="1"/>
    <w:next w:val="1"/>
    <w:qFormat/>
    <w:uiPriority w:val="0"/>
    <w:pPr>
      <w:ind w:left="420" w:leftChars="200"/>
    </w:pPr>
  </w:style>
  <w:style w:type="paragraph" w:customStyle="1" w:styleId="5">
    <w:name w:val="SBBT1"/>
    <w:basedOn w:val="6"/>
    <w:qFormat/>
    <w:uiPriority w:val="0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6">
    <w:name w:val="SBBZW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215</Words>
  <Characters>1227</Characters>
  <Lines>10</Lines>
  <Paragraphs>2</Paragraphs>
  <TotalTime>0</TotalTime>
  <ScaleCrop>false</ScaleCrop>
  <LinksUpToDate>false</LinksUpToDate>
  <CharactersWithSpaces>1440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2021-01-06T10:53:00Z</dcterms:created>
  <dc:creator>宁强</dc:creator>
  <cp:lastModifiedBy>NQ</cp:lastModifiedBy>
  <dcterms:modified xsi:type="dcterms:W3CDTF">2023-01-12T10:34:19Z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