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pPr>
      <w:bookmarkStart w:id="0" w:name="_Toc1075772758_WPSOffice_Level1"/>
      <w:bookmarkStart w:id="1" w:name="_Toc123222303"/>
      <w:r>
        <w:rPr>
          <w:rFonts w:hint="eastAsia"/>
        </w:rPr>
        <w:t>A105080</w:t>
      </w:r>
      <w:r>
        <w:rPr>
          <w:rFonts w:hint="eastAsia"/>
        </w:rPr>
        <w:tab/>
      </w:r>
      <w:r>
        <w:rPr>
          <w:rFonts w:hint="eastAsia"/>
        </w:rPr>
        <w:t>资产折旧、摊销及纳税调整明细表</w:t>
      </w:r>
      <w:bookmarkEnd w:id="0"/>
      <w:bookmarkEnd w:id="1"/>
    </w:p>
    <w:tbl>
      <w:tblPr>
        <w:tblStyle w:val="4"/>
        <w:tblW w:w="14610" w:type="dxa"/>
        <w:tblInd w:w="93"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16"/>
        <w:gridCol w:w="900"/>
        <w:gridCol w:w="1468"/>
        <w:gridCol w:w="2900"/>
        <w:gridCol w:w="745"/>
        <w:gridCol w:w="913"/>
        <w:gridCol w:w="1075"/>
        <w:gridCol w:w="791"/>
        <w:gridCol w:w="1075"/>
        <w:gridCol w:w="1075"/>
        <w:gridCol w:w="1078"/>
        <w:gridCol w:w="1075"/>
        <w:gridCol w:w="89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616" w:type="dxa"/>
            <w:vMerge w:val="restart"/>
            <w:tcBorders>
              <w:top w:val="single" w:color="000000" w:sz="12" w:space="0"/>
              <w:left w:val="single" w:color="000000" w:sz="12"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行次</w:t>
            </w:r>
          </w:p>
        </w:tc>
        <w:tc>
          <w:tcPr>
            <w:tcW w:w="5268" w:type="dxa"/>
            <w:gridSpan w:val="3"/>
            <w:vMerge w:val="restart"/>
            <w:tcBorders>
              <w:top w:val="single" w:color="000000" w:sz="12"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项目</w:t>
            </w:r>
          </w:p>
        </w:tc>
        <w:tc>
          <w:tcPr>
            <w:tcW w:w="2733" w:type="dxa"/>
            <w:gridSpan w:val="3"/>
            <w:tcBorders>
              <w:top w:val="single" w:color="000000" w:sz="12"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账载金额</w:t>
            </w:r>
          </w:p>
        </w:tc>
        <w:tc>
          <w:tcPr>
            <w:tcW w:w="5094" w:type="dxa"/>
            <w:gridSpan w:val="5"/>
            <w:tcBorders>
              <w:top w:val="single" w:color="000000" w:sz="12"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税收金额</w:t>
            </w:r>
          </w:p>
        </w:tc>
        <w:tc>
          <w:tcPr>
            <w:tcW w:w="899" w:type="dxa"/>
            <w:vMerge w:val="restart"/>
            <w:tcBorders>
              <w:top w:val="single" w:color="000000" w:sz="12"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纳税调整金额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0" w:type="auto"/>
            <w:vMerge w:val="continue"/>
            <w:tcBorders>
              <w:top w:val="single" w:color="000000" w:sz="12" w:space="0"/>
              <w:left w:val="single" w:color="000000" w:sz="12"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0" w:type="auto"/>
            <w:gridSpan w:val="3"/>
            <w:vMerge w:val="continue"/>
            <w:tcBorders>
              <w:top w:val="single" w:color="000000" w:sz="12"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资产原值</w:t>
            </w: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本年折旧、摊销额</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累计折旧、摊销额</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资产计税基础</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税收折旧、摊销额</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享受加速折旧政策的资产按税收一般规定计算的折旧、摊销额</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加速折旧、摊销统计额</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累计折旧、摊销额</w:t>
            </w:r>
          </w:p>
        </w:tc>
        <w:tc>
          <w:tcPr>
            <w:tcW w:w="0" w:type="auto"/>
            <w:vMerge w:val="continue"/>
            <w:tcBorders>
              <w:top w:val="single" w:color="000000" w:sz="12" w:space="0"/>
              <w:left w:val="single" w:color="000000" w:sz="4" w:space="0"/>
              <w:bottom w:val="single" w:color="000000" w:sz="4" w:space="0"/>
              <w:right w:val="single" w:color="000000" w:sz="12" w:space="0"/>
            </w:tcBorders>
            <w:noWrap w:val="0"/>
            <w:vAlign w:val="center"/>
          </w:tcPr>
          <w:p>
            <w:pPr>
              <w:widowControl/>
              <w:jc w:val="left"/>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0" w:type="auto"/>
            <w:vMerge w:val="continue"/>
            <w:tcBorders>
              <w:top w:val="single" w:color="000000" w:sz="12" w:space="0"/>
              <w:left w:val="single" w:color="000000" w:sz="12"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0" w:type="auto"/>
            <w:gridSpan w:val="3"/>
            <w:vMerge w:val="continue"/>
            <w:tcBorders>
              <w:top w:val="single" w:color="000000" w:sz="12"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1</w:t>
            </w: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2</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3</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4</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5</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6</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7（5-6）</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8</w:t>
            </w: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9(2-5)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一、固定资产（2+3+4+5+6+7）</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所有固定资产</w:t>
            </w: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（一）房屋、建筑物</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（二）飞机、火车、轮船、机器、机械和其他生产设备</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4</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（三）与生产经营活动有关的器具、工具、家具等</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5</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（四）飞机、火车、轮船以外的运输工具</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6</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（五）电子设备</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7</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（六）其他</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8</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E w:val="0"/>
              <w:spacing w:line="240" w:lineRule="exact"/>
              <w:jc w:val="center"/>
              <w:textAlignment w:val="center"/>
              <w:rPr>
                <w:rFonts w:ascii="宋体" w:hAnsi="宋体"/>
                <w:sz w:val="20"/>
                <w:szCs w:val="20"/>
              </w:rPr>
            </w:pPr>
            <w:r>
              <w:rPr>
                <w:rFonts w:hint="eastAsia" w:ascii="宋体" w:hAnsi="宋体"/>
                <w:kern w:val="0"/>
                <w:sz w:val="20"/>
                <w:szCs w:val="20"/>
              </w:rPr>
              <w:t>其中：享受固定资产加速折旧及一次性扣除政策的资产加速折旧额大于一般折旧额的部分</w:t>
            </w: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（一）重要行业固定资产加速折旧（不含一次性扣除）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9</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（二）其他行业研发设备加速折旧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10</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（三）特定地区企业固定资产加速折旧（10.1+10.2）</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10.1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1.海南自由贸易港企业固定资产加速折旧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10.2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2.横琴粤澳深度合作区企业固定资产加速折旧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（四）500万元以下设备器具一次性扣除（11.1+11.2）</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1.1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1.高新技术企业2022年第四季度</w:t>
            </w:r>
            <w:r>
              <w:rPr>
                <w:rFonts w:ascii="宋体" w:hAnsi="宋体"/>
                <w:kern w:val="0"/>
                <w:sz w:val="20"/>
                <w:szCs w:val="20"/>
                <w:lang w:val="en"/>
              </w:rPr>
              <w:t>(</w:t>
            </w:r>
            <w:r>
              <w:rPr>
                <w:rFonts w:hint="eastAsia" w:ascii="宋体" w:hAnsi="宋体"/>
                <w:kern w:val="0"/>
                <w:sz w:val="20"/>
                <w:szCs w:val="20"/>
              </w:rPr>
              <w:t>10月-12月）购置单价5</w:t>
            </w:r>
            <w:r>
              <w:rPr>
                <w:rFonts w:ascii="宋体" w:hAnsi="宋体"/>
                <w:kern w:val="0"/>
                <w:sz w:val="20"/>
                <w:szCs w:val="20"/>
              </w:rPr>
              <w:t>00</w:t>
            </w:r>
            <w:r>
              <w:rPr>
                <w:rFonts w:hint="eastAsia" w:ascii="宋体" w:hAnsi="宋体"/>
                <w:kern w:val="0"/>
                <w:sz w:val="20"/>
                <w:szCs w:val="20"/>
              </w:rPr>
              <w:t>万元以下设备器具一次性扣除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1.2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lang w:val="en"/>
              </w:rPr>
            </w:pPr>
            <w:r>
              <w:rPr>
                <w:rFonts w:hint="eastAsia" w:ascii="宋体" w:hAnsi="宋体"/>
                <w:kern w:val="0"/>
                <w:sz w:val="20"/>
                <w:szCs w:val="20"/>
              </w:rPr>
              <w:t>2.购置单价5</w:t>
            </w:r>
            <w:r>
              <w:rPr>
                <w:rFonts w:ascii="宋体" w:hAnsi="宋体"/>
                <w:kern w:val="0"/>
                <w:sz w:val="20"/>
                <w:szCs w:val="20"/>
              </w:rPr>
              <w:t>00</w:t>
            </w:r>
            <w:r>
              <w:rPr>
                <w:rFonts w:hint="eastAsia" w:ascii="宋体" w:hAnsi="宋体"/>
                <w:kern w:val="0"/>
                <w:sz w:val="20"/>
                <w:szCs w:val="20"/>
              </w:rPr>
              <w:t>万元以下设备器具一次性扣除</w:t>
            </w:r>
            <w:r>
              <w:rPr>
                <w:rFonts w:ascii="宋体" w:hAnsi="宋体"/>
                <w:kern w:val="0"/>
                <w:sz w:val="20"/>
                <w:szCs w:val="20"/>
                <w:lang w:val="en"/>
              </w:rPr>
              <w:t>(</w:t>
            </w:r>
            <w:r>
              <w:rPr>
                <w:rFonts w:hint="eastAsia" w:ascii="宋体" w:hAnsi="宋体"/>
                <w:kern w:val="0"/>
                <w:sz w:val="20"/>
                <w:szCs w:val="20"/>
                <w:lang w:val="en"/>
              </w:rPr>
              <w:t>不包含高新技术企业</w:t>
            </w:r>
            <w:r>
              <w:rPr>
                <w:rFonts w:hint="eastAsia" w:ascii="宋体" w:hAnsi="宋体"/>
                <w:kern w:val="0"/>
                <w:sz w:val="20"/>
                <w:szCs w:val="20"/>
              </w:rPr>
              <w:t>2022年第四季度购置</w:t>
            </w:r>
            <w:r>
              <w:rPr>
                <w:rFonts w:ascii="宋体" w:hAnsi="宋体"/>
                <w:kern w:val="0"/>
                <w:sz w:val="20"/>
                <w:szCs w:val="20"/>
                <w:lang w:val="en"/>
              </w:rPr>
              <w:t>)</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（五）500万元以上设备器具一次性扣除（1</w:t>
            </w:r>
            <w:r>
              <w:rPr>
                <w:rFonts w:ascii="宋体" w:hAnsi="宋体"/>
                <w:kern w:val="0"/>
                <w:sz w:val="20"/>
                <w:szCs w:val="20"/>
              </w:rPr>
              <w:t>2.1+12.2+12.3</w:t>
            </w:r>
            <w:r>
              <w:rPr>
                <w:rFonts w:hint="eastAsia" w:ascii="宋体" w:hAnsi="宋体"/>
                <w:kern w:val="0"/>
                <w:sz w:val="20"/>
                <w:szCs w:val="20"/>
              </w:rPr>
              <w:t>+12.4）</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2.1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1468" w:type="dxa"/>
            <w:vMerge w:val="restart"/>
            <w:tcBorders>
              <w:top w:val="single" w:color="000000" w:sz="4" w:space="0"/>
              <w:left w:val="single" w:color="000000" w:sz="4" w:space="0"/>
              <w:right w:val="single" w:color="000000" w:sz="4" w:space="0"/>
            </w:tcBorders>
            <w:noWrap w:val="0"/>
            <w:vAlign w:val="center"/>
          </w:tcPr>
          <w:p>
            <w:pPr>
              <w:jc w:val="center"/>
              <w:rPr>
                <w:rFonts w:ascii="宋体" w:hAnsi="宋体"/>
                <w:kern w:val="0"/>
                <w:sz w:val="20"/>
                <w:szCs w:val="20"/>
              </w:rPr>
            </w:pPr>
            <w:r>
              <w:rPr>
                <w:rFonts w:hint="eastAsia" w:ascii="宋体" w:hAnsi="宋体"/>
                <w:kern w:val="0"/>
                <w:sz w:val="20"/>
                <w:szCs w:val="20"/>
              </w:rPr>
              <w:t>中小微企业购置单价500万元以上设备器具</w:t>
            </w:r>
          </w:p>
        </w:tc>
        <w:tc>
          <w:tcPr>
            <w:tcW w:w="290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1.最低折旧年限为3年的设备器具一次性扣除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2.2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1468" w:type="dxa"/>
            <w:vMerge w:val="continue"/>
            <w:tcBorders>
              <w:left w:val="single" w:color="000000" w:sz="4" w:space="0"/>
              <w:right w:val="single" w:color="000000" w:sz="4" w:space="0"/>
            </w:tcBorders>
            <w:noWrap w:val="0"/>
            <w:vAlign w:val="center"/>
          </w:tcPr>
          <w:p>
            <w:pPr>
              <w:widowControl/>
              <w:jc w:val="left"/>
              <w:textAlignment w:val="center"/>
              <w:rPr>
                <w:rFonts w:ascii="宋体" w:hAnsi="宋体"/>
                <w:kern w:val="0"/>
                <w:sz w:val="20"/>
                <w:szCs w:val="20"/>
              </w:rPr>
            </w:pPr>
          </w:p>
        </w:tc>
        <w:tc>
          <w:tcPr>
            <w:tcW w:w="290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2.最低折旧年限为4、5年的设备器具50%部分一次性扣除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2.3</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1468" w:type="dxa"/>
            <w:vMerge w:val="continue"/>
            <w:tcBorders>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p>
        </w:tc>
        <w:tc>
          <w:tcPr>
            <w:tcW w:w="290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3.最低折旧年限为10年的设备器具50%部分一次性扣除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1</w:t>
            </w:r>
            <w:r>
              <w:rPr>
                <w:rFonts w:ascii="宋体" w:hAnsi="宋体"/>
                <w:kern w:val="0"/>
                <w:sz w:val="20"/>
                <w:szCs w:val="20"/>
              </w:rPr>
              <w:t>2.4</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kern w:val="0"/>
                <w:sz w:val="20"/>
                <w:szCs w:val="20"/>
              </w:rPr>
            </w:pPr>
            <w:r>
              <w:rPr>
                <w:rFonts w:hint="eastAsia" w:ascii="宋体" w:hAnsi="宋体"/>
                <w:kern w:val="0"/>
                <w:sz w:val="20"/>
                <w:szCs w:val="20"/>
              </w:rPr>
              <w:t>4.高新技术企业2022年第四季度（10月-12月）购置单价500万元以上设备器具一次性扣除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13</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（六）特定地区企业固定资产一次性扣除（13.1+13.2）</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13.1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1.海南自由贸易港企业固定资产一次性扣除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13.2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2.横琴粤澳深度合作区企业固定资产一次性扣除</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14</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（七）技术进步、更新换代固定资产加速折旧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15</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（八）常年强震动、高腐蚀固定资产加速折旧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16</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（九）外购软件加速折旧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17</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（十）集成电路企业生产设备加速折旧</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18</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二、生产性生物资产（19+20）</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19</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（一）林木类</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20</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（二）畜类</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21</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三、无形资产（22+23+24+25+26+27+28+29）</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22</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所有无形资产</w:t>
            </w: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（一）专利权</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23</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（二）商标权</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24</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（三）著作权</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25</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（四）土地使用权</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26</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（五）非专利技术</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27</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（六）特许权使用费</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28</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（七）软件</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29</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（八）其他</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30</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autoSpaceDE w:val="0"/>
              <w:spacing w:line="240" w:lineRule="exact"/>
              <w:jc w:val="center"/>
              <w:textAlignment w:val="center"/>
              <w:rPr>
                <w:rFonts w:ascii="宋体" w:hAnsi="宋体"/>
                <w:sz w:val="20"/>
                <w:szCs w:val="20"/>
              </w:rPr>
            </w:pPr>
            <w:r>
              <w:rPr>
                <w:rFonts w:hint="eastAsia" w:ascii="宋体" w:hAnsi="宋体"/>
                <w:kern w:val="0"/>
                <w:sz w:val="20"/>
                <w:szCs w:val="20"/>
              </w:rPr>
              <w:t>其中：享受无形资产加速摊销及一次性摊销政策的资产加速摊销额大于一般摊销额的部分</w:t>
            </w: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（一）企业外购软件加速摊销</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（二）特定地区企业无形资产加速摊销（31.1+31.2）</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31.1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1.海南自由贸易港企业无形资产加速摊销</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31.2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2.横琴粤澳深度合作区企业无形资产加速摊销</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（三）特定地区企业无形资产一次性摊销（32.1+32.2）</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32.1</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1.海南自由贸易港企业无形资产一次性摊销</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32.2</w:t>
            </w: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sz w:val="20"/>
                <w:szCs w:val="20"/>
              </w:rPr>
            </w:pPr>
          </w:p>
        </w:tc>
        <w:tc>
          <w:tcPr>
            <w:tcW w:w="436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2.横琴粤澳深度合作区企业无形资产一次性摊销</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r>
              <w:rPr>
                <w:rFonts w:hint="eastAsia" w:ascii="宋体" w:hAnsi="宋体"/>
                <w:kern w:val="0"/>
                <w:sz w:val="20"/>
                <w:szCs w:val="2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33</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四、长期待摊费用（34+35+36+37+38）</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34</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（一）已足额提取折旧的固定资产的改建支出</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35</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（二）租入固定资产的改建支出</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36</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（三）固定资产的大修理支出</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37</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（四）开办费</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38</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ind w:firstLine="200" w:firstLineChars="100"/>
              <w:jc w:val="left"/>
              <w:textAlignment w:val="center"/>
              <w:rPr>
                <w:rFonts w:ascii="宋体" w:hAnsi="宋体"/>
                <w:sz w:val="20"/>
                <w:szCs w:val="20"/>
              </w:rPr>
            </w:pPr>
            <w:r>
              <w:rPr>
                <w:rFonts w:hint="eastAsia" w:ascii="宋体" w:hAnsi="宋体"/>
                <w:kern w:val="0"/>
                <w:sz w:val="20"/>
                <w:szCs w:val="20"/>
              </w:rPr>
              <w:t>（五）其他</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39</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五、油气勘探投资</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40</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六、油气开发投资</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16" w:type="dxa"/>
            <w:tcBorders>
              <w:top w:val="single" w:color="000000" w:sz="4" w:space="0"/>
              <w:left w:val="single" w:color="000000" w:sz="12"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41</w:t>
            </w:r>
          </w:p>
        </w:tc>
        <w:tc>
          <w:tcPr>
            <w:tcW w:w="526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合计（1+18+21+33+39+40）</w:t>
            </w:r>
          </w:p>
        </w:tc>
        <w:tc>
          <w:tcPr>
            <w:tcW w:w="7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4" w:space="0"/>
              <w:right w:val="single" w:color="000000" w:sz="12" w:space="0"/>
            </w:tcBorders>
            <w:noWrap w:val="0"/>
            <w:vAlign w:val="center"/>
          </w:tcPr>
          <w:p>
            <w:pPr>
              <w:jc w:val="center"/>
              <w:rPr>
                <w:rFonts w:ascii="宋体" w:hAnsi="宋体"/>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516" w:type="dxa"/>
            <w:gridSpan w:val="2"/>
            <w:tcBorders>
              <w:top w:val="single" w:color="000000" w:sz="4" w:space="0"/>
              <w:left w:val="single" w:color="000000" w:sz="12" w:space="0"/>
              <w:bottom w:val="single" w:color="000000" w:sz="12"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附列资料</w:t>
            </w:r>
          </w:p>
        </w:tc>
        <w:tc>
          <w:tcPr>
            <w:tcW w:w="4368" w:type="dxa"/>
            <w:gridSpan w:val="2"/>
            <w:tcBorders>
              <w:top w:val="single" w:color="000000" w:sz="4" w:space="0"/>
              <w:left w:val="single" w:color="000000" w:sz="4" w:space="0"/>
              <w:bottom w:val="single" w:color="000000" w:sz="12" w:space="0"/>
              <w:right w:val="single" w:color="000000" w:sz="4" w:space="0"/>
            </w:tcBorders>
            <w:noWrap w:val="0"/>
            <w:vAlign w:val="center"/>
          </w:tcPr>
          <w:p>
            <w:pPr>
              <w:widowControl/>
              <w:jc w:val="left"/>
              <w:textAlignment w:val="center"/>
              <w:rPr>
                <w:rFonts w:ascii="宋体" w:hAnsi="宋体"/>
                <w:sz w:val="20"/>
                <w:szCs w:val="20"/>
              </w:rPr>
            </w:pPr>
            <w:r>
              <w:rPr>
                <w:rFonts w:hint="eastAsia" w:ascii="宋体" w:hAnsi="宋体"/>
                <w:kern w:val="0"/>
                <w:sz w:val="20"/>
                <w:szCs w:val="20"/>
              </w:rPr>
              <w:t>全民所有制企业公司制改制资产评估增值政策资产</w:t>
            </w:r>
          </w:p>
        </w:tc>
        <w:tc>
          <w:tcPr>
            <w:tcW w:w="745"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913"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791"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1075" w:type="dxa"/>
            <w:tcBorders>
              <w:top w:val="single" w:color="000000" w:sz="4" w:space="0"/>
              <w:left w:val="single" w:color="000000" w:sz="4" w:space="0"/>
              <w:bottom w:val="single" w:color="000000" w:sz="12"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8" w:type="dxa"/>
            <w:tcBorders>
              <w:top w:val="single" w:color="000000" w:sz="4" w:space="0"/>
              <w:left w:val="single" w:color="000000" w:sz="4" w:space="0"/>
              <w:bottom w:val="single" w:color="000000" w:sz="12" w:space="0"/>
              <w:right w:val="single" w:color="000000" w:sz="4" w:space="0"/>
            </w:tcBorders>
            <w:noWrap w:val="0"/>
            <w:vAlign w:val="center"/>
          </w:tcPr>
          <w:p>
            <w:pPr>
              <w:widowControl/>
              <w:jc w:val="center"/>
              <w:textAlignment w:val="center"/>
              <w:rPr>
                <w:rFonts w:ascii="宋体" w:hAnsi="宋体"/>
                <w:sz w:val="20"/>
                <w:szCs w:val="20"/>
              </w:rPr>
            </w:pPr>
            <w:r>
              <w:rPr>
                <w:rFonts w:hint="eastAsia" w:ascii="宋体" w:hAnsi="宋体"/>
                <w:kern w:val="0"/>
                <w:sz w:val="20"/>
                <w:szCs w:val="20"/>
              </w:rPr>
              <w:t>*</w:t>
            </w:r>
          </w:p>
        </w:tc>
        <w:tc>
          <w:tcPr>
            <w:tcW w:w="1075" w:type="dxa"/>
            <w:tcBorders>
              <w:top w:val="single" w:color="000000" w:sz="4" w:space="0"/>
              <w:left w:val="single" w:color="000000" w:sz="4" w:space="0"/>
              <w:bottom w:val="single" w:color="000000" w:sz="12" w:space="0"/>
              <w:right w:val="single" w:color="000000" w:sz="4" w:space="0"/>
            </w:tcBorders>
            <w:noWrap w:val="0"/>
            <w:vAlign w:val="center"/>
          </w:tcPr>
          <w:p>
            <w:pPr>
              <w:jc w:val="center"/>
              <w:rPr>
                <w:rFonts w:ascii="宋体" w:hAnsi="宋体"/>
                <w:sz w:val="20"/>
                <w:szCs w:val="20"/>
              </w:rPr>
            </w:pPr>
          </w:p>
        </w:tc>
        <w:tc>
          <w:tcPr>
            <w:tcW w:w="899" w:type="dxa"/>
            <w:tcBorders>
              <w:top w:val="single" w:color="000000" w:sz="4" w:space="0"/>
              <w:left w:val="single" w:color="000000" w:sz="4" w:space="0"/>
              <w:bottom w:val="single" w:color="000000" w:sz="12" w:space="0"/>
              <w:right w:val="single" w:color="000000" w:sz="12" w:space="0"/>
            </w:tcBorders>
            <w:noWrap w:val="0"/>
            <w:vAlign w:val="center"/>
          </w:tcPr>
          <w:p>
            <w:pPr>
              <w:jc w:val="center"/>
              <w:rPr>
                <w:rFonts w:ascii="宋体" w:hAnsi="宋体"/>
                <w:sz w:val="20"/>
                <w:szCs w:val="20"/>
              </w:rPr>
            </w:pPr>
          </w:p>
        </w:tc>
      </w:tr>
    </w:tbl>
    <w:p>
      <w:bookmarkStart w:id="2" w:name="_GoBack"/>
      <w:bookmarkEnd w:id="2"/>
    </w:p>
    <w:sectPr>
      <w:pgSz w:w="16838" w:h="11906" w:orient="landscape"/>
      <w:pgMar w:top="426" w:right="1440" w:bottom="28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4805"/>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04805"/>
    <w:rsid w:val="00814B95"/>
    <w:rsid w:val="00816EBF"/>
    <w:rsid w:val="00835E16"/>
    <w:rsid w:val="00840428"/>
    <w:rsid w:val="00847FA4"/>
    <w:rsid w:val="0088007A"/>
    <w:rsid w:val="008827DC"/>
    <w:rsid w:val="008D0E87"/>
    <w:rsid w:val="00926BAA"/>
    <w:rsid w:val="009406B7"/>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561B"/>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 w:val="3FE78413"/>
    <w:rsid w:val="6CFFC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TableOfAuthoring"/>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SBBT1"/>
    <w:basedOn w:val="7"/>
    <w:qFormat/>
    <w:uiPriority w:val="0"/>
    <w:pPr>
      <w:tabs>
        <w:tab w:val="center" w:pos="4678"/>
      </w:tabs>
      <w:spacing w:line="360" w:lineRule="auto"/>
      <w:outlineLvl w:val="0"/>
    </w:pPr>
    <w:rPr>
      <w:rFonts w:ascii="宋体" w:hAnsi="宋体" w:cs="宋体"/>
      <w:b/>
      <w:bCs/>
      <w:sz w:val="28"/>
      <w:szCs w:val="28"/>
    </w:rPr>
  </w:style>
  <w:style w:type="paragraph" w:customStyle="1" w:styleId="7">
    <w:name w:val="SBBZW"/>
    <w:basedOn w:val="1"/>
    <w:qFormat/>
    <w:uiPriority w:val="0"/>
    <w:pPr>
      <w:spacing w:line="360" w:lineRule="auto"/>
      <w:ind w:firstLine="480" w:firstLineChars="200"/>
    </w:pPr>
    <w:rPr>
      <w:rFonts w:ascii="宋体" w:hAnsi="宋体" w:cs="宋体"/>
      <w:sz w:val="24"/>
    </w:rPr>
  </w:style>
  <w:style w:type="paragraph" w:customStyle="1" w:styleId="8">
    <w:name w:val="表格1级"/>
    <w:basedOn w:val="1"/>
    <w:qFormat/>
    <w:uiPriority w:val="0"/>
    <w:pPr>
      <w:tabs>
        <w:tab w:val="left" w:pos="210"/>
        <w:tab w:val="center" w:pos="4620"/>
      </w:tabs>
      <w:spacing w:before="50" w:beforeLines="50" w:after="50" w:afterLines="50"/>
      <w:jc w:val="center"/>
      <w:outlineLvl w:val="0"/>
    </w:pPr>
    <w:rPr>
      <w:rFonts w:ascii="Times New Roman" w:hAnsi="Times New Roman" w:eastAsia="CESI宋体-GB2312"/>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230</Words>
  <Characters>1316</Characters>
  <Lines>10</Lines>
  <Paragraphs>3</Paragraphs>
  <TotalTime>0</TotalTime>
  <ScaleCrop>false</ScaleCrop>
  <LinksUpToDate>false</LinksUpToDate>
  <CharactersWithSpaces>1543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2021-01-06T18:46:00Z</dcterms:created>
  <dc:creator>宁强</dc:creator>
  <cp:lastModifiedBy>NQ</cp:lastModifiedBy>
  <cp:lastPrinted>2021-01-08T23:46:00Z</cp:lastPrinted>
  <dcterms:modified xsi:type="dcterms:W3CDTF">2023-01-12T10:29:33Z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