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805" w:rsidRDefault="00804805" w:rsidP="00804805">
      <w:pPr>
        <w:pStyle w:val="SBBT1"/>
        <w:tabs>
          <w:tab w:val="clear" w:pos="4678"/>
          <w:tab w:val="center" w:pos="6520"/>
        </w:tabs>
        <w:rPr>
          <w:rFonts w:hint="eastAsia"/>
        </w:rPr>
      </w:pPr>
      <w:bookmarkStart w:id="0" w:name="_Toc54267918"/>
      <w:r>
        <w:rPr>
          <w:rFonts w:hint="eastAsia"/>
        </w:rPr>
        <w:t>A105080</w:t>
      </w:r>
      <w:r>
        <w:rPr>
          <w:rFonts w:hint="eastAsia"/>
        </w:rPr>
        <w:tab/>
        <w:t>资产折旧、摊销及纳税调整明细表</w:t>
      </w:r>
      <w:bookmarkEnd w:id="0"/>
    </w:p>
    <w:tbl>
      <w:tblPr>
        <w:tblW w:w="1496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40"/>
        <w:gridCol w:w="1472"/>
        <w:gridCol w:w="3457"/>
        <w:gridCol w:w="992"/>
        <w:gridCol w:w="968"/>
        <w:gridCol w:w="945"/>
        <w:gridCol w:w="965"/>
        <w:gridCol w:w="925"/>
        <w:gridCol w:w="1656"/>
        <w:gridCol w:w="1040"/>
        <w:gridCol w:w="963"/>
        <w:gridCol w:w="940"/>
      </w:tblGrid>
      <w:tr w:rsidR="00804805" w:rsidTr="00320449">
        <w:trPr>
          <w:trHeight w:val="255"/>
          <w:jc w:val="center"/>
        </w:trPr>
        <w:tc>
          <w:tcPr>
            <w:tcW w:w="640" w:type="dxa"/>
            <w:vMerge w:val="restart"/>
            <w:tcBorders>
              <w:top w:val="single" w:sz="12"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行次</w:t>
            </w:r>
          </w:p>
        </w:tc>
        <w:tc>
          <w:tcPr>
            <w:tcW w:w="4929" w:type="dxa"/>
            <w:gridSpan w:val="2"/>
            <w:vMerge w:val="restart"/>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项目</w:t>
            </w:r>
          </w:p>
        </w:tc>
        <w:tc>
          <w:tcPr>
            <w:tcW w:w="2905" w:type="dxa"/>
            <w:gridSpan w:val="3"/>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账载金额</w:t>
            </w:r>
          </w:p>
        </w:tc>
        <w:tc>
          <w:tcPr>
            <w:tcW w:w="5549" w:type="dxa"/>
            <w:gridSpan w:val="5"/>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税收金额</w:t>
            </w:r>
          </w:p>
        </w:tc>
        <w:tc>
          <w:tcPr>
            <w:tcW w:w="940" w:type="dxa"/>
            <w:vMerge w:val="restart"/>
            <w:tcBorders>
              <w:top w:val="single" w:sz="12"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纳税调整金额</w:t>
            </w:r>
          </w:p>
        </w:tc>
      </w:tr>
      <w:tr w:rsidR="00804805" w:rsidTr="00320449">
        <w:trPr>
          <w:trHeight w:val="780"/>
          <w:jc w:val="center"/>
        </w:trPr>
        <w:tc>
          <w:tcPr>
            <w:tcW w:w="640" w:type="dxa"/>
            <w:vMerge/>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4929" w:type="dxa"/>
            <w:gridSpan w:val="2"/>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资产原值</w:t>
            </w: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本年折旧、摊销额</w:t>
            </w: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累计折旧、摊销额</w:t>
            </w: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资产计税基础</w:t>
            </w: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税收折旧、摊销额</w:t>
            </w: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享受加速折旧政策的资产按税收一般规定计算的折旧、摊销额</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加速折旧、摊销统计额</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累计折旧、摊销额</w:t>
            </w:r>
          </w:p>
        </w:tc>
        <w:tc>
          <w:tcPr>
            <w:tcW w:w="940" w:type="dxa"/>
            <w:vMerge/>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left"/>
              <w:rPr>
                <w:rFonts w:ascii="宋体" w:hAnsi="宋体" w:cs="宋体" w:hint="eastAsia"/>
                <w:kern w:val="0"/>
                <w:sz w:val="20"/>
                <w:szCs w:val="20"/>
              </w:rPr>
            </w:pPr>
          </w:p>
        </w:tc>
      </w:tr>
      <w:tr w:rsidR="00804805" w:rsidTr="00320449">
        <w:trPr>
          <w:trHeight w:val="300"/>
          <w:jc w:val="center"/>
        </w:trPr>
        <w:tc>
          <w:tcPr>
            <w:tcW w:w="640" w:type="dxa"/>
            <w:vMerge/>
            <w:tcBorders>
              <w:top w:val="single" w:sz="6" w:space="0" w:color="auto"/>
              <w:left w:val="single" w:sz="12" w:space="0" w:color="auto"/>
              <w:bottom w:val="single" w:sz="12"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4929" w:type="dxa"/>
            <w:gridSpan w:val="2"/>
            <w:vMerge/>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992"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1</w:t>
            </w:r>
          </w:p>
        </w:tc>
        <w:tc>
          <w:tcPr>
            <w:tcW w:w="968"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w:t>
            </w:r>
          </w:p>
        </w:tc>
        <w:tc>
          <w:tcPr>
            <w:tcW w:w="94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3</w:t>
            </w:r>
          </w:p>
        </w:tc>
        <w:tc>
          <w:tcPr>
            <w:tcW w:w="96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4</w:t>
            </w:r>
          </w:p>
        </w:tc>
        <w:tc>
          <w:tcPr>
            <w:tcW w:w="92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5</w:t>
            </w:r>
          </w:p>
        </w:tc>
        <w:tc>
          <w:tcPr>
            <w:tcW w:w="1656"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6</w:t>
            </w:r>
          </w:p>
        </w:tc>
        <w:tc>
          <w:tcPr>
            <w:tcW w:w="1040"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7（5-6）</w:t>
            </w:r>
          </w:p>
        </w:tc>
        <w:tc>
          <w:tcPr>
            <w:tcW w:w="963"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8</w:t>
            </w:r>
          </w:p>
        </w:tc>
        <w:tc>
          <w:tcPr>
            <w:tcW w:w="940" w:type="dxa"/>
            <w:tcBorders>
              <w:top w:val="single" w:sz="6" w:space="0" w:color="auto"/>
              <w:left w:val="single" w:sz="6" w:space="0" w:color="auto"/>
              <w:bottom w:val="single" w:sz="12"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9(2-5)</w:t>
            </w:r>
          </w:p>
        </w:tc>
      </w:tr>
      <w:tr w:rsidR="00804805" w:rsidTr="00320449">
        <w:trPr>
          <w:trHeight w:val="417"/>
          <w:jc w:val="center"/>
        </w:trPr>
        <w:tc>
          <w:tcPr>
            <w:tcW w:w="640" w:type="dxa"/>
            <w:tcBorders>
              <w:top w:val="single" w:sz="12"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1</w:t>
            </w:r>
          </w:p>
        </w:tc>
        <w:tc>
          <w:tcPr>
            <w:tcW w:w="4929" w:type="dxa"/>
            <w:gridSpan w:val="2"/>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一、固定资产（2+3+4+5+6+7）</w:t>
            </w:r>
          </w:p>
        </w:tc>
        <w:tc>
          <w:tcPr>
            <w:tcW w:w="992"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12"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2"/>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w:t>
            </w:r>
          </w:p>
        </w:tc>
        <w:tc>
          <w:tcPr>
            <w:tcW w:w="1472" w:type="dxa"/>
            <w:vMerge w:val="restart"/>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所有固定资产</w:t>
            </w: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（一）房屋、建筑物</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495"/>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3</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（二）飞机、火车、轮船、机器、机械和其他生产设备</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4</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（三）与生产经营活动有关的器具、工具、家具等</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5</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（四）飞机、火车、轮船以外的运输工具</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6</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（五）电子设备</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29"/>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7</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（六）其他</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58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8</w:t>
            </w:r>
          </w:p>
        </w:tc>
        <w:tc>
          <w:tcPr>
            <w:tcW w:w="1472" w:type="dxa"/>
            <w:vMerge w:val="restart"/>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其中：享受固定资产加速折旧及一次性扣除政策的资产加速折旧额大于一般折旧额的部分</w:t>
            </w: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（一）重要行业固定资产加速折旧（不含一次性扣除）</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313"/>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9</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（二）其他行业研发设备加速折旧</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448"/>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10</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（三）海南自由贸易港企业固定资产加速折旧</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451"/>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11</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（四）500万元以下设备器具一次性扣除</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451"/>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lastRenderedPageBreak/>
              <w:t>12</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（五）疫情防控重点保障物资生产企业单价500万元以上设备一次性扣除</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451"/>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13</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（六）海南自由贸易港企业固定资产一次性扣除</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451"/>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14</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（七）技术进步、更新换代固定资产加速折旧</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457"/>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15</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（八）常年强震动、高腐蚀固定资产加速折旧</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349"/>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16</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（九）外购软件加速折旧</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398"/>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17</w:t>
            </w:r>
          </w:p>
        </w:tc>
        <w:tc>
          <w:tcPr>
            <w:tcW w:w="1472" w:type="dxa"/>
            <w:vMerge/>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（十）集成电路企业生产设备加速折旧</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300"/>
          <w:jc w:val="center"/>
        </w:trPr>
        <w:tc>
          <w:tcPr>
            <w:tcW w:w="640" w:type="dxa"/>
            <w:tcBorders>
              <w:top w:val="single" w:sz="6" w:space="0" w:color="auto"/>
              <w:left w:val="single" w:sz="12"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18</w:t>
            </w:r>
          </w:p>
        </w:tc>
        <w:tc>
          <w:tcPr>
            <w:tcW w:w="4929" w:type="dxa"/>
            <w:gridSpan w:val="2"/>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二、生产性生物资产（19+20）</w:t>
            </w:r>
          </w:p>
        </w:tc>
        <w:tc>
          <w:tcPr>
            <w:tcW w:w="992"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12"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12"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19</w:t>
            </w:r>
          </w:p>
        </w:tc>
        <w:tc>
          <w:tcPr>
            <w:tcW w:w="4929" w:type="dxa"/>
            <w:gridSpan w:val="2"/>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r>
              <w:rPr>
                <w:rFonts w:ascii="宋体" w:hAnsi="宋体" w:cs="宋体" w:hint="eastAsia"/>
                <w:kern w:val="0"/>
                <w:sz w:val="20"/>
                <w:szCs w:val="20"/>
              </w:rPr>
              <w:t>（一）林木类</w:t>
            </w:r>
          </w:p>
        </w:tc>
        <w:tc>
          <w:tcPr>
            <w:tcW w:w="992"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12"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20</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r>
              <w:rPr>
                <w:rFonts w:ascii="宋体" w:hAnsi="宋体" w:cs="宋体" w:hint="eastAsia"/>
                <w:kern w:val="0"/>
                <w:sz w:val="20"/>
                <w:szCs w:val="20"/>
              </w:rPr>
              <w:t>（二）畜类</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21</w:t>
            </w:r>
          </w:p>
        </w:tc>
        <w:tc>
          <w:tcPr>
            <w:tcW w:w="4929" w:type="dxa"/>
            <w:gridSpan w:val="2"/>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三、无形资产（22+23+24+25+26+27+28+29）</w:t>
            </w:r>
          </w:p>
        </w:tc>
        <w:tc>
          <w:tcPr>
            <w:tcW w:w="992"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12"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12"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22</w:t>
            </w:r>
          </w:p>
        </w:tc>
        <w:tc>
          <w:tcPr>
            <w:tcW w:w="1472" w:type="dxa"/>
            <w:vMerge w:val="restart"/>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所有无形资产</w:t>
            </w:r>
          </w:p>
        </w:tc>
        <w:tc>
          <w:tcPr>
            <w:tcW w:w="3457"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left"/>
            </w:pPr>
            <w:r>
              <w:rPr>
                <w:rFonts w:ascii="宋体" w:hAnsi="宋体" w:cs="宋体" w:hint="eastAsia"/>
                <w:kern w:val="0"/>
                <w:sz w:val="20"/>
                <w:szCs w:val="20"/>
              </w:rPr>
              <w:t>（一）专利权</w:t>
            </w:r>
          </w:p>
        </w:tc>
        <w:tc>
          <w:tcPr>
            <w:tcW w:w="992"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12"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23</w:t>
            </w:r>
          </w:p>
        </w:tc>
        <w:tc>
          <w:tcPr>
            <w:tcW w:w="1472" w:type="dxa"/>
            <w:vMerge/>
            <w:tcBorders>
              <w:top w:val="single" w:sz="6" w:space="0" w:color="auto"/>
              <w:left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（二）商标权</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24</w:t>
            </w:r>
          </w:p>
        </w:tc>
        <w:tc>
          <w:tcPr>
            <w:tcW w:w="1472" w:type="dxa"/>
            <w:vMerge/>
            <w:tcBorders>
              <w:left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（三）著作权</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25</w:t>
            </w:r>
          </w:p>
        </w:tc>
        <w:tc>
          <w:tcPr>
            <w:tcW w:w="1472" w:type="dxa"/>
            <w:vMerge/>
            <w:tcBorders>
              <w:left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（四）土地使用权</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26</w:t>
            </w:r>
          </w:p>
        </w:tc>
        <w:tc>
          <w:tcPr>
            <w:tcW w:w="1472" w:type="dxa"/>
            <w:vMerge/>
            <w:tcBorders>
              <w:left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（五）非专利技术</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27</w:t>
            </w:r>
          </w:p>
        </w:tc>
        <w:tc>
          <w:tcPr>
            <w:tcW w:w="1472" w:type="dxa"/>
            <w:vMerge/>
            <w:tcBorders>
              <w:left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（六）特许权使用费</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28</w:t>
            </w:r>
          </w:p>
        </w:tc>
        <w:tc>
          <w:tcPr>
            <w:tcW w:w="1472" w:type="dxa"/>
            <w:vMerge/>
            <w:tcBorders>
              <w:left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（七）软件</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29</w:t>
            </w:r>
          </w:p>
        </w:tc>
        <w:tc>
          <w:tcPr>
            <w:tcW w:w="1472" w:type="dxa"/>
            <w:vMerge/>
            <w:tcBorders>
              <w:left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（八）其他</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45"/>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30</w:t>
            </w:r>
          </w:p>
        </w:tc>
        <w:tc>
          <w:tcPr>
            <w:tcW w:w="1472" w:type="dxa"/>
            <w:vMerge w:val="restart"/>
            <w:tcBorders>
              <w:left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其中：享受无</w:t>
            </w:r>
            <w:r>
              <w:rPr>
                <w:rFonts w:ascii="宋体" w:hAnsi="宋体" w:cs="宋体" w:hint="eastAsia"/>
                <w:kern w:val="0"/>
                <w:sz w:val="20"/>
                <w:szCs w:val="20"/>
              </w:rPr>
              <w:lastRenderedPageBreak/>
              <w:t>形资产加速摊销及一次性摊销政策的资产加速摊销额大于一般摊销额的部分</w:t>
            </w: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lastRenderedPageBreak/>
              <w:t>（一）企业外购软件加速摊销</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683"/>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lastRenderedPageBreak/>
              <w:t>31</w:t>
            </w:r>
          </w:p>
        </w:tc>
        <w:tc>
          <w:tcPr>
            <w:tcW w:w="1472" w:type="dxa"/>
            <w:vMerge/>
            <w:tcBorders>
              <w:top w:val="single" w:sz="6" w:space="0" w:color="auto"/>
              <w:left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（二）海南自由贸易港企业无形资产加速摊销</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742"/>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lastRenderedPageBreak/>
              <w:t>32</w:t>
            </w:r>
          </w:p>
        </w:tc>
        <w:tc>
          <w:tcPr>
            <w:tcW w:w="1472" w:type="dxa"/>
            <w:vMerge/>
            <w:tcBorders>
              <w:left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p>
        </w:tc>
        <w:tc>
          <w:tcPr>
            <w:tcW w:w="3457"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（三）海南自由贸易港企业无形资产一次性摊销</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33</w:t>
            </w:r>
          </w:p>
        </w:tc>
        <w:tc>
          <w:tcPr>
            <w:tcW w:w="4929" w:type="dxa"/>
            <w:gridSpan w:val="2"/>
            <w:tcBorders>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四、长期待摊费用（34+35+36+37+38）</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12"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34</w:t>
            </w:r>
          </w:p>
        </w:tc>
        <w:tc>
          <w:tcPr>
            <w:tcW w:w="4929" w:type="dxa"/>
            <w:gridSpan w:val="2"/>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r>
              <w:rPr>
                <w:rFonts w:ascii="宋体" w:hAnsi="宋体" w:cs="宋体" w:hint="eastAsia"/>
                <w:kern w:val="0"/>
                <w:sz w:val="20"/>
                <w:szCs w:val="20"/>
              </w:rPr>
              <w:t>（一）已足额提取折旧的固定资产的改建支出</w:t>
            </w:r>
          </w:p>
        </w:tc>
        <w:tc>
          <w:tcPr>
            <w:tcW w:w="992"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12"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35</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r>
              <w:rPr>
                <w:rFonts w:ascii="宋体" w:hAnsi="宋体" w:cs="宋体" w:hint="eastAsia"/>
                <w:kern w:val="0"/>
                <w:sz w:val="20"/>
                <w:szCs w:val="20"/>
              </w:rPr>
              <w:t>（二）租入固定资产的改建支出</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36</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r>
              <w:rPr>
                <w:rFonts w:ascii="宋体" w:hAnsi="宋体" w:cs="宋体" w:hint="eastAsia"/>
                <w:kern w:val="0"/>
                <w:sz w:val="20"/>
                <w:szCs w:val="20"/>
              </w:rPr>
              <w:t>（三）固定资产的大修理支出</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37</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r>
              <w:rPr>
                <w:rFonts w:ascii="宋体" w:hAnsi="宋体" w:cs="宋体" w:hint="eastAsia"/>
                <w:kern w:val="0"/>
                <w:sz w:val="20"/>
                <w:szCs w:val="20"/>
              </w:rPr>
              <w:t>（四）开办费</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38</w:t>
            </w:r>
          </w:p>
        </w:tc>
        <w:tc>
          <w:tcPr>
            <w:tcW w:w="4929" w:type="dxa"/>
            <w:gridSpan w:val="2"/>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ind w:firstLineChars="100" w:firstLine="200"/>
              <w:jc w:val="left"/>
              <w:rPr>
                <w:rFonts w:ascii="宋体" w:hAnsi="宋体" w:cs="宋体" w:hint="eastAsia"/>
                <w:kern w:val="0"/>
                <w:sz w:val="20"/>
                <w:szCs w:val="20"/>
              </w:rPr>
            </w:pPr>
            <w:r>
              <w:rPr>
                <w:rFonts w:ascii="宋体" w:hAnsi="宋体" w:cs="宋体" w:hint="eastAsia"/>
                <w:kern w:val="0"/>
                <w:sz w:val="20"/>
                <w:szCs w:val="20"/>
              </w:rPr>
              <w:t>（五）其他</w:t>
            </w:r>
          </w:p>
        </w:tc>
        <w:tc>
          <w:tcPr>
            <w:tcW w:w="992"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39</w:t>
            </w:r>
          </w:p>
        </w:tc>
        <w:tc>
          <w:tcPr>
            <w:tcW w:w="4929" w:type="dxa"/>
            <w:gridSpan w:val="2"/>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五、油气勘探投资</w:t>
            </w:r>
          </w:p>
        </w:tc>
        <w:tc>
          <w:tcPr>
            <w:tcW w:w="992"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12"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12" w:space="0" w:color="auto"/>
              <w:left w:val="single" w:sz="12"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40</w:t>
            </w:r>
          </w:p>
        </w:tc>
        <w:tc>
          <w:tcPr>
            <w:tcW w:w="4929" w:type="dxa"/>
            <w:gridSpan w:val="2"/>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六、油气开发投资</w:t>
            </w:r>
          </w:p>
        </w:tc>
        <w:tc>
          <w:tcPr>
            <w:tcW w:w="992"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12" w:space="0" w:color="auto"/>
              <w:left w:val="single" w:sz="6" w:space="0" w:color="auto"/>
              <w:bottom w:val="single" w:sz="6"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12" w:space="0" w:color="auto"/>
              <w:left w:val="single" w:sz="6" w:space="0" w:color="auto"/>
              <w:bottom w:val="single" w:sz="6"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640" w:type="dxa"/>
            <w:tcBorders>
              <w:top w:val="single" w:sz="6" w:space="0" w:color="auto"/>
              <w:left w:val="single" w:sz="12"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41</w:t>
            </w:r>
          </w:p>
        </w:tc>
        <w:tc>
          <w:tcPr>
            <w:tcW w:w="4929" w:type="dxa"/>
            <w:gridSpan w:val="2"/>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合计（1+18+21+33+39+40）</w:t>
            </w:r>
          </w:p>
        </w:tc>
        <w:tc>
          <w:tcPr>
            <w:tcW w:w="992"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040"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3" w:type="dxa"/>
            <w:tcBorders>
              <w:top w:val="single" w:sz="6"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6" w:space="0" w:color="auto"/>
              <w:left w:val="single" w:sz="6" w:space="0" w:color="auto"/>
              <w:bottom w:val="single" w:sz="12"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r w:rsidR="00804805" w:rsidTr="00320449">
        <w:trPr>
          <w:trHeight w:val="300"/>
          <w:jc w:val="center"/>
        </w:trPr>
        <w:tc>
          <w:tcPr>
            <w:tcW w:w="2112" w:type="dxa"/>
            <w:gridSpan w:val="2"/>
            <w:tcBorders>
              <w:top w:val="single" w:sz="12" w:space="0" w:color="auto"/>
              <w:left w:val="single" w:sz="12"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附列资料</w:t>
            </w:r>
          </w:p>
        </w:tc>
        <w:tc>
          <w:tcPr>
            <w:tcW w:w="3457" w:type="dxa"/>
            <w:tcBorders>
              <w:top w:val="single" w:sz="12" w:space="0" w:color="auto"/>
              <w:left w:val="single" w:sz="6" w:space="0" w:color="auto"/>
              <w:bottom w:val="single" w:sz="12" w:space="0" w:color="auto"/>
              <w:right w:val="single" w:sz="6" w:space="0" w:color="auto"/>
            </w:tcBorders>
            <w:vAlign w:val="center"/>
          </w:tcPr>
          <w:p w:rsidR="00804805" w:rsidRDefault="00804805" w:rsidP="00320449">
            <w:pPr>
              <w:widowControl/>
              <w:jc w:val="left"/>
              <w:rPr>
                <w:rFonts w:ascii="宋体" w:hAnsi="宋体" w:cs="宋体" w:hint="eastAsia"/>
                <w:kern w:val="0"/>
                <w:sz w:val="20"/>
                <w:szCs w:val="20"/>
              </w:rPr>
            </w:pPr>
            <w:r>
              <w:rPr>
                <w:rFonts w:ascii="宋体" w:hAnsi="宋体" w:cs="宋体" w:hint="eastAsia"/>
                <w:kern w:val="0"/>
                <w:sz w:val="20"/>
                <w:szCs w:val="20"/>
              </w:rPr>
              <w:t>全民所有制企业公司制改制资产评估增值政策资产</w:t>
            </w:r>
          </w:p>
        </w:tc>
        <w:tc>
          <w:tcPr>
            <w:tcW w:w="992" w:type="dxa"/>
            <w:tcBorders>
              <w:top w:val="single" w:sz="12"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8" w:type="dxa"/>
            <w:tcBorders>
              <w:top w:val="single" w:sz="12"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5" w:type="dxa"/>
            <w:tcBorders>
              <w:top w:val="single" w:sz="12"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65" w:type="dxa"/>
            <w:tcBorders>
              <w:top w:val="single" w:sz="12"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25" w:type="dxa"/>
            <w:tcBorders>
              <w:top w:val="single" w:sz="12"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1656" w:type="dxa"/>
            <w:tcBorders>
              <w:top w:val="single" w:sz="12"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1040" w:type="dxa"/>
            <w:tcBorders>
              <w:top w:val="single" w:sz="12"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r>
              <w:rPr>
                <w:rFonts w:ascii="宋体" w:hAnsi="宋体" w:cs="宋体" w:hint="eastAsia"/>
                <w:kern w:val="0"/>
                <w:sz w:val="20"/>
                <w:szCs w:val="20"/>
              </w:rPr>
              <w:t>*</w:t>
            </w:r>
          </w:p>
        </w:tc>
        <w:tc>
          <w:tcPr>
            <w:tcW w:w="963" w:type="dxa"/>
            <w:tcBorders>
              <w:top w:val="single" w:sz="12" w:space="0" w:color="auto"/>
              <w:left w:val="single" w:sz="6" w:space="0" w:color="auto"/>
              <w:bottom w:val="single" w:sz="12" w:space="0" w:color="auto"/>
              <w:right w:val="single" w:sz="6" w:space="0" w:color="auto"/>
            </w:tcBorders>
            <w:vAlign w:val="center"/>
          </w:tcPr>
          <w:p w:rsidR="00804805" w:rsidRDefault="00804805" w:rsidP="00320449">
            <w:pPr>
              <w:widowControl/>
              <w:jc w:val="center"/>
              <w:rPr>
                <w:rFonts w:ascii="宋体" w:hAnsi="宋体" w:cs="宋体" w:hint="eastAsia"/>
                <w:kern w:val="0"/>
                <w:sz w:val="20"/>
                <w:szCs w:val="20"/>
              </w:rPr>
            </w:pPr>
          </w:p>
        </w:tc>
        <w:tc>
          <w:tcPr>
            <w:tcW w:w="940" w:type="dxa"/>
            <w:tcBorders>
              <w:top w:val="single" w:sz="12" w:space="0" w:color="auto"/>
              <w:left w:val="single" w:sz="6" w:space="0" w:color="auto"/>
              <w:bottom w:val="single" w:sz="12" w:space="0" w:color="auto"/>
              <w:right w:val="single" w:sz="12" w:space="0" w:color="auto"/>
            </w:tcBorders>
            <w:vAlign w:val="center"/>
          </w:tcPr>
          <w:p w:rsidR="00804805" w:rsidRDefault="00804805" w:rsidP="00320449">
            <w:pPr>
              <w:widowControl/>
              <w:jc w:val="center"/>
              <w:rPr>
                <w:rFonts w:ascii="宋体" w:hAnsi="宋体" w:cs="宋体" w:hint="eastAsia"/>
                <w:kern w:val="0"/>
                <w:sz w:val="20"/>
                <w:szCs w:val="20"/>
              </w:rPr>
            </w:pPr>
          </w:p>
        </w:tc>
      </w:tr>
    </w:tbl>
    <w:p w:rsidR="00C607E2" w:rsidRDefault="00C607E2"/>
    <w:sectPr w:rsidR="00C607E2" w:rsidSect="00804805">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04805"/>
    <w:rsid w:val="0001336A"/>
    <w:rsid w:val="0001446F"/>
    <w:rsid w:val="00033740"/>
    <w:rsid w:val="0008549C"/>
    <w:rsid w:val="000962AA"/>
    <w:rsid w:val="000E7D74"/>
    <w:rsid w:val="00101C1F"/>
    <w:rsid w:val="00110412"/>
    <w:rsid w:val="001265A2"/>
    <w:rsid w:val="001310C8"/>
    <w:rsid w:val="0013532C"/>
    <w:rsid w:val="0014415C"/>
    <w:rsid w:val="0027389D"/>
    <w:rsid w:val="002B74E8"/>
    <w:rsid w:val="002D75DF"/>
    <w:rsid w:val="0031594F"/>
    <w:rsid w:val="00323A1E"/>
    <w:rsid w:val="00323AB5"/>
    <w:rsid w:val="00333B3B"/>
    <w:rsid w:val="00361446"/>
    <w:rsid w:val="003A5936"/>
    <w:rsid w:val="003E2C43"/>
    <w:rsid w:val="00411F8D"/>
    <w:rsid w:val="00422B6F"/>
    <w:rsid w:val="004A2C8E"/>
    <w:rsid w:val="0056531D"/>
    <w:rsid w:val="00574CBB"/>
    <w:rsid w:val="00595800"/>
    <w:rsid w:val="005A4D77"/>
    <w:rsid w:val="005D68EC"/>
    <w:rsid w:val="005E65DB"/>
    <w:rsid w:val="005F36BE"/>
    <w:rsid w:val="006305C1"/>
    <w:rsid w:val="0064124D"/>
    <w:rsid w:val="00646B61"/>
    <w:rsid w:val="00647C34"/>
    <w:rsid w:val="006942B2"/>
    <w:rsid w:val="006A189E"/>
    <w:rsid w:val="006B5E53"/>
    <w:rsid w:val="006C67B4"/>
    <w:rsid w:val="006D1921"/>
    <w:rsid w:val="006D400D"/>
    <w:rsid w:val="006E1EE9"/>
    <w:rsid w:val="0071260A"/>
    <w:rsid w:val="007324A1"/>
    <w:rsid w:val="00750505"/>
    <w:rsid w:val="0078104D"/>
    <w:rsid w:val="007B0BFB"/>
    <w:rsid w:val="007B7DBC"/>
    <w:rsid w:val="007E368A"/>
    <w:rsid w:val="007F14AD"/>
    <w:rsid w:val="007F38C0"/>
    <w:rsid w:val="00804805"/>
    <w:rsid w:val="00814B95"/>
    <w:rsid w:val="00816EBF"/>
    <w:rsid w:val="00835E16"/>
    <w:rsid w:val="00840428"/>
    <w:rsid w:val="00847FA4"/>
    <w:rsid w:val="0088007A"/>
    <w:rsid w:val="008827DC"/>
    <w:rsid w:val="008D0E87"/>
    <w:rsid w:val="00926BAA"/>
    <w:rsid w:val="00945900"/>
    <w:rsid w:val="009918F2"/>
    <w:rsid w:val="00994D59"/>
    <w:rsid w:val="009B5DD7"/>
    <w:rsid w:val="009D617A"/>
    <w:rsid w:val="009F221F"/>
    <w:rsid w:val="00A01048"/>
    <w:rsid w:val="00A470CA"/>
    <w:rsid w:val="00A474AF"/>
    <w:rsid w:val="00A54467"/>
    <w:rsid w:val="00A71EBC"/>
    <w:rsid w:val="00A92681"/>
    <w:rsid w:val="00AB19F4"/>
    <w:rsid w:val="00AB24E8"/>
    <w:rsid w:val="00B21BE7"/>
    <w:rsid w:val="00C25031"/>
    <w:rsid w:val="00C607E2"/>
    <w:rsid w:val="00C77BCB"/>
    <w:rsid w:val="00C968BD"/>
    <w:rsid w:val="00CD6383"/>
    <w:rsid w:val="00D168B7"/>
    <w:rsid w:val="00D831E4"/>
    <w:rsid w:val="00DC7BB5"/>
    <w:rsid w:val="00DD1C48"/>
    <w:rsid w:val="00DF0ECC"/>
    <w:rsid w:val="00E01CBD"/>
    <w:rsid w:val="00E04DCC"/>
    <w:rsid w:val="00E10EB8"/>
    <w:rsid w:val="00E21B1B"/>
    <w:rsid w:val="00E34861"/>
    <w:rsid w:val="00E6338A"/>
    <w:rsid w:val="00EB652A"/>
    <w:rsid w:val="00F174EE"/>
    <w:rsid w:val="00F41234"/>
    <w:rsid w:val="00F52048"/>
    <w:rsid w:val="00F57757"/>
    <w:rsid w:val="00FB7CB5"/>
    <w:rsid w:val="00FF72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805"/>
    <w:pPr>
      <w:widowControl w:val="0"/>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BBT1">
    <w:name w:val="SBBT1"/>
    <w:basedOn w:val="a"/>
    <w:qFormat/>
    <w:rsid w:val="00804805"/>
    <w:pPr>
      <w:tabs>
        <w:tab w:val="center" w:pos="4678"/>
      </w:tabs>
      <w:spacing w:line="360" w:lineRule="auto"/>
      <w:outlineLvl w:val="0"/>
    </w:pPr>
    <w:rPr>
      <w:rFonts w:ascii="宋体" w:hAnsi="宋体" w:cs="宋体"/>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230</Words>
  <Characters>1316</Characters>
  <Application>Microsoft Office Word</Application>
  <DocSecurity>0</DocSecurity>
  <Lines>10</Lines>
  <Paragraphs>3</Paragraphs>
  <ScaleCrop>false</ScaleCrop>
  <Company>Lenovo</Company>
  <LinksUpToDate>false</LinksUpToDate>
  <CharactersWithSpaces>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宁强</dc:creator>
  <cp:keywords/>
  <dc:description/>
  <cp:lastModifiedBy>宁强</cp:lastModifiedBy>
  <cp:revision>2</cp:revision>
  <dcterms:created xsi:type="dcterms:W3CDTF">2021-01-06T02:46:00Z</dcterms:created>
  <dcterms:modified xsi:type="dcterms:W3CDTF">2021-01-06T02:46:00Z</dcterms:modified>
</cp:coreProperties>
</file>