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/>
        <w:ind w:left="0" w:right="844" w:firstLine="0"/>
        <w:jc w:val="right"/>
        <w:rPr>
          <w:rFonts w:ascii="方正美黑简体"/>
          <w:sz w:val="30"/>
        </w:rPr>
      </w:pPr>
      <w:bookmarkStart w:id="1" w:name="_GoBack"/>
      <w:bookmarkEnd w:id="1"/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336550</wp:posOffset>
                </wp:positionV>
                <wp:extent cx="2340610" cy="576580"/>
                <wp:effectExtent l="4445" t="5080" r="17145" b="8890"/>
                <wp:wrapTopAndBottom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576580"/>
                        </a:xfrm>
                        <a:prstGeom prst="rect">
                          <a:avLst/>
                        </a:prstGeom>
                        <a:noFill/>
                        <a:ln w="2743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58"/>
                              <w:ind w:left="1350" w:right="1330" w:firstLine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916"/>
                                <w:sz w:val="32"/>
                              </w:rPr>
                              <w:t>条形码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0.55pt;margin-top:26.5pt;height:45.4pt;width:184.3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+hX33ZAAAACgEAAA8AAAAAAAAAAQAgAAAAIgAAAGRycy9kb3du&#10;cmV2LnhtbFBLAQIUABQAAAAIAIdO4kBuodYD/gEAAOMDAAAOAAAAAAAAAAEAIAAAACgBAABkcnMv&#10;ZTJvRG9jLnhtbFBLBQYAAAAABgAGAFkBAACYBQAAAAA=&#10;">
                <v:fill on="f" focussize="0,0"/>
                <v:stroke weight="0.215984251968504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58"/>
                        <w:ind w:left="1350" w:right="1330" w:firstLine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231916"/>
                          <w:sz w:val="32"/>
                        </w:rPr>
                        <w:t>条形码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19296" behindDoc="1" locked="0" layoutInCell="1" allowOverlap="1">
                <wp:simplePos x="0" y="0"/>
                <wp:positionH relativeFrom="page">
                  <wp:posOffset>8532495</wp:posOffset>
                </wp:positionH>
                <wp:positionV relativeFrom="paragraph">
                  <wp:posOffset>265430</wp:posOffset>
                </wp:positionV>
                <wp:extent cx="1800225" cy="1800225"/>
                <wp:effectExtent l="4445" t="4445" r="5080" b="508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2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纳税人盖公章区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71.85pt;margin-top:20.9pt;height:141.75pt;width:141.75pt;mso-position-horizontal-relative:page;z-index:-251997184;mso-width-relative:page;mso-height-relative:page;" filled="f" stroked="t" coordsize="21600,21600" o:gfxdata="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6UET3AAAAAwBAAAPAAAAAAAAAAEAIAAAACIAAABkcnMvZG93bnJl&#10;di54bWxQSwECFAAUAAAACACHTuJALoFw1vkBAADkAwAADgAAAAAAAAABACAAAAArAQAAZHJzL2Uy&#10;b0RvYy54bWxQSwUGAAAAAAYABgBZAQAAlgUAAAAA&#10;">
                <v:fill on="f" focussize="0,0"/>
                <v:stroke weight="0.25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rPr>
                          <w:sz w:val="20"/>
                        </w:rPr>
                      </w:pPr>
                    </w:p>
                    <w:p>
                      <w:pPr>
                        <w:pStyle w:val="2"/>
                        <w:spacing w:before="5"/>
                        <w:rPr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2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231916"/>
                          <w:sz w:val="20"/>
                        </w:rPr>
                        <w:t>纳税人盖公章区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2032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85090</wp:posOffset>
                </wp:positionV>
                <wp:extent cx="3240405" cy="1080135"/>
                <wp:effectExtent l="4445" t="5080" r="12700" b="1968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1080135"/>
                        </a:xfrm>
                        <a:prstGeom prst="rect">
                          <a:avLst/>
                        </a:prstGeom>
                        <a:noFill/>
                        <a:ln w="2743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80" w:line="286" w:lineRule="exact"/>
                              <w:ind w:left="0" w:right="68" w:firstLine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916"/>
                                <w:sz w:val="24"/>
                              </w:rPr>
                              <w:t>9CM*3CM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5.15pt;margin-top:6.7pt;height:85.05pt;width:255.15pt;mso-position-horizontal-relative:page;z-index:-251996160;mso-width-relative:page;mso-height-relative:page;" filled="f" stroked="t" coordsize="21600,21600" o:gfxdata="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WKwY2AAAAAoBAAAPAAAAAAAAAAEAIAAAACIAAABkcnMvZG93bnJl&#10;di54bWxQSwECFAAUAAAACACHTuJA+i5EIf0BAADkAwAADgAAAAAAAAABACAAAAAnAQAAZHJzL2Uy&#10;b0RvYy54bWxQSwUGAAAAAAYABgBZAQAAlgUAAAAA&#10;">
                <v:fill on="f" focussize="0,0"/>
                <v:stroke weight="0.215984251968504pt" color="#231916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sz w:val="24"/>
                        </w:rPr>
                      </w:pPr>
                    </w:p>
                    <w:p>
                      <w:pPr>
                        <w:pStyle w:val="2"/>
                        <w:rPr>
                          <w:sz w:val="24"/>
                        </w:rPr>
                      </w:pPr>
                    </w:p>
                    <w:p>
                      <w:pPr>
                        <w:pStyle w:val="2"/>
                        <w:rPr>
                          <w:sz w:val="24"/>
                        </w:rPr>
                      </w:pPr>
                    </w:p>
                    <w:p>
                      <w:pPr>
                        <w:pStyle w:val="2"/>
                        <w:rPr>
                          <w:sz w:val="24"/>
                        </w:rPr>
                      </w:pPr>
                    </w:p>
                    <w:p>
                      <w:pPr>
                        <w:spacing w:before="180" w:line="286" w:lineRule="exact"/>
                        <w:ind w:left="0" w:right="68" w:firstLine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color w:val="231916"/>
                          <w:sz w:val="24"/>
                        </w:rPr>
                        <w:t>9CM*3CM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页 1"/>
      <w:bookmarkEnd w:id="0"/>
      <w:r>
        <w:rPr>
          <w:rFonts w:ascii="方正美黑简体"/>
          <w:color w:val="231916"/>
          <w:sz w:val="30"/>
        </w:rPr>
        <w:t>A 0 1 0 7 3</w:t>
      </w:r>
    </w:p>
    <w:p>
      <w:pPr>
        <w:pStyle w:val="2"/>
        <w:rPr>
          <w:rFonts w:ascii="方正美黑简体"/>
          <w:sz w:val="20"/>
        </w:rPr>
      </w:pPr>
    </w:p>
    <w:p>
      <w:pPr>
        <w:pStyle w:val="2"/>
        <w:spacing w:before="7"/>
        <w:rPr>
          <w:rFonts w:ascii="方正美黑简体"/>
          <w:sz w:val="27"/>
        </w:rPr>
      </w:pPr>
    </w:p>
    <w:p>
      <w:pPr>
        <w:spacing w:before="0"/>
        <w:ind w:left="4989" w:right="5374" w:firstLine="0"/>
        <w:jc w:val="center"/>
        <w:rPr>
          <w:rFonts w:hint="eastAsia" w:ascii="方正黑体简体" w:eastAsia="方正黑体简体"/>
          <w:sz w:val="44"/>
        </w:rPr>
      </w:pPr>
      <w:r>
        <w:rPr>
          <w:rFonts w:hint="eastAsia" w:ascii="方正黑体简体" w:eastAsia="方正黑体简体"/>
          <w:color w:val="231916"/>
          <w:sz w:val="44"/>
        </w:rPr>
        <w:t>噪 声 基 础 信 息 采 集 表</w:t>
      </w:r>
    </w:p>
    <w:p>
      <w:pPr>
        <w:pStyle w:val="2"/>
        <w:spacing w:before="11"/>
        <w:rPr>
          <w:rFonts w:ascii="方正黑体简体"/>
          <w:sz w:val="7"/>
        </w:rPr>
      </w:pPr>
    </w:p>
    <w:p>
      <w:pPr>
        <w:tabs>
          <w:tab w:val="left" w:pos="5177"/>
        </w:tabs>
        <w:spacing w:before="70"/>
        <w:ind w:left="109" w:right="0" w:firstLine="0"/>
        <w:jc w:val="left"/>
        <w:rPr>
          <w:sz w:val="22"/>
        </w:rPr>
      </w:pPr>
      <w:r>
        <w:rPr>
          <w:color w:val="231916"/>
          <w:spacing w:val="22"/>
          <w:sz w:val="22"/>
        </w:rPr>
        <w:t>纳税人名称</w:t>
      </w:r>
      <w:r>
        <w:rPr>
          <w:color w:val="231916"/>
          <w:sz w:val="22"/>
        </w:rPr>
        <w:t>：</w:t>
      </w:r>
      <w:r>
        <w:rPr>
          <w:color w:val="231916"/>
          <w:sz w:val="22"/>
        </w:rPr>
        <w:tab/>
      </w:r>
      <w:r>
        <w:rPr>
          <w:color w:val="231916"/>
          <w:spacing w:val="22"/>
          <w:sz w:val="22"/>
        </w:rPr>
        <w:t>统一社会信用代码</w:t>
      </w:r>
      <w:r>
        <w:rPr>
          <w:color w:val="231916"/>
          <w:sz w:val="22"/>
        </w:rPr>
        <w:t>（</w:t>
      </w:r>
      <w:r>
        <w:rPr>
          <w:color w:val="231916"/>
          <w:spacing w:val="-88"/>
          <w:sz w:val="22"/>
        </w:rPr>
        <w:t xml:space="preserve"> </w:t>
      </w:r>
      <w:r>
        <w:rPr>
          <w:color w:val="231916"/>
          <w:spacing w:val="22"/>
          <w:sz w:val="22"/>
        </w:rPr>
        <w:t>纳税人识别号</w:t>
      </w:r>
      <w:r>
        <w:rPr>
          <w:color w:val="231916"/>
          <w:spacing w:val="11"/>
          <w:sz w:val="22"/>
        </w:rPr>
        <w:t>）：</w:t>
      </w:r>
    </w:p>
    <w:p>
      <w:pPr>
        <w:pStyle w:val="2"/>
        <w:spacing w:before="8"/>
        <w:rPr>
          <w:sz w:val="6"/>
        </w:rPr>
      </w:pPr>
    </w:p>
    <w:tbl>
      <w:tblPr>
        <w:tblStyle w:val="3"/>
        <w:tblW w:w="0" w:type="auto"/>
        <w:tblInd w:w="127" w:type="dxa"/>
        <w:tblBorders>
          <w:top w:val="single" w:color="231916" w:sz="6" w:space="0"/>
          <w:left w:val="single" w:color="231916" w:sz="6" w:space="0"/>
          <w:bottom w:val="single" w:color="231916" w:sz="6" w:space="0"/>
          <w:right w:val="single" w:color="231916" w:sz="6" w:space="0"/>
          <w:insideH w:val="single" w:color="231916" w:sz="6" w:space="0"/>
          <w:insideV w:val="single" w:color="23191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757"/>
        <w:gridCol w:w="1757"/>
        <w:gridCol w:w="1757"/>
        <w:gridCol w:w="1757"/>
        <w:gridCol w:w="1757"/>
        <w:gridCol w:w="1757"/>
        <w:gridCol w:w="1757"/>
        <w:gridCol w:w="1757"/>
      </w:tblGrid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54" w:type="dxa"/>
            <w:vMerge w:val="restart"/>
            <w:tcBorders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spacing w:before="1"/>
              <w:ind w:left="77"/>
              <w:rPr>
                <w:sz w:val="24"/>
              </w:rPr>
            </w:pPr>
            <w:r>
              <w:rPr>
                <w:color w:val="231916"/>
                <w:sz w:val="24"/>
              </w:rPr>
              <w:t>序号</w:t>
            </w:r>
          </w:p>
        </w:tc>
        <w:tc>
          <w:tcPr>
            <w:tcW w:w="1757" w:type="dxa"/>
            <w:vMerge w:val="restart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ind w:left="307"/>
              <w:rPr>
                <w:sz w:val="24"/>
              </w:rPr>
            </w:pPr>
            <w:r>
              <w:rPr>
                <w:color w:val="231916"/>
                <w:sz w:val="24"/>
              </w:rPr>
              <w:t>*税源编号</w:t>
            </w:r>
          </w:p>
        </w:tc>
        <w:tc>
          <w:tcPr>
            <w:tcW w:w="1757" w:type="dxa"/>
            <w:vMerge w:val="restart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spacing w:before="1"/>
              <w:ind w:left="174"/>
              <w:rPr>
                <w:sz w:val="24"/>
              </w:rPr>
            </w:pPr>
            <w:r>
              <w:rPr>
                <w:color w:val="231916"/>
                <w:sz w:val="24"/>
              </w:rPr>
              <w:t>*噪声源名称</w:t>
            </w:r>
          </w:p>
        </w:tc>
        <w:tc>
          <w:tcPr>
            <w:tcW w:w="1757" w:type="dxa"/>
            <w:vMerge w:val="restart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ind w:left="173"/>
              <w:rPr>
                <w:sz w:val="24"/>
              </w:rPr>
            </w:pPr>
            <w:r>
              <w:rPr>
                <w:color w:val="231916"/>
                <w:sz w:val="24"/>
              </w:rPr>
              <w:t>*噪声源位置</w:t>
            </w:r>
          </w:p>
        </w:tc>
        <w:tc>
          <w:tcPr>
            <w:tcW w:w="1757" w:type="dxa"/>
            <w:vMerge w:val="restart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ind w:left="234"/>
              <w:rPr>
                <w:sz w:val="24"/>
              </w:rPr>
            </w:pPr>
            <w:r>
              <w:rPr>
                <w:color w:val="231916"/>
                <w:sz w:val="24"/>
              </w:rPr>
              <w:t>功能区类型</w:t>
            </w:r>
          </w:p>
        </w:tc>
        <w:tc>
          <w:tcPr>
            <w:tcW w:w="1757" w:type="dxa"/>
            <w:vMerge w:val="restart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5"/>
              <w:rPr>
                <w:sz w:val="17"/>
              </w:rPr>
            </w:pPr>
          </w:p>
          <w:p>
            <w:pPr>
              <w:pStyle w:val="7"/>
              <w:spacing w:line="187" w:lineRule="auto"/>
              <w:ind w:left="367" w:right="345" w:firstLine="240"/>
              <w:rPr>
                <w:sz w:val="24"/>
              </w:rPr>
            </w:pPr>
            <w:r>
              <w:rPr>
                <w:color w:val="231916"/>
                <w:sz w:val="24"/>
              </w:rPr>
              <w:t>*是否昼夜产生</w:t>
            </w:r>
          </w:p>
        </w:tc>
        <w:tc>
          <w:tcPr>
            <w:tcW w:w="1757" w:type="dxa"/>
            <w:vMerge w:val="restart"/>
            <w:tcBorders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spacing w:before="1"/>
              <w:ind w:left="366"/>
              <w:rPr>
                <w:sz w:val="24"/>
              </w:rPr>
            </w:pPr>
            <w:r>
              <w:rPr>
                <w:color w:val="231916"/>
                <w:sz w:val="24"/>
              </w:rPr>
              <w:t>执行标准</w:t>
            </w:r>
          </w:p>
        </w:tc>
        <w:tc>
          <w:tcPr>
            <w:tcW w:w="3514" w:type="dxa"/>
            <w:gridSpan w:val="2"/>
            <w:tcBorders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spacing w:before="66"/>
              <w:ind w:left="720"/>
              <w:rPr>
                <w:sz w:val="24"/>
              </w:rPr>
            </w:pPr>
            <w:r>
              <w:rPr>
                <w:color w:val="231916"/>
                <w:sz w:val="24"/>
              </w:rPr>
              <w:t>*标准限值（ 分贝）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4" w:type="dxa"/>
            <w:vMerge w:val="continue"/>
            <w:tcBorders>
              <w:top w:val="nil"/>
              <w:bottom w:val="single" w:color="231916" w:sz="4" w:space="0"/>
              <w:right w:val="single" w:color="231916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 w:val="continue"/>
            <w:tcBorders>
              <w:top w:val="nil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69"/>
              <w:ind w:left="629" w:right="597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昼间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spacing w:before="67"/>
              <w:ind w:left="627" w:right="597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夜间</w:t>
            </w: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4" w:type="dxa"/>
            <w:tcBorders>
              <w:top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68"/>
              <w:ind w:left="8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4" w:type="dxa"/>
            <w:tcBorders>
              <w:top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68"/>
              <w:ind w:left="14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4" w:type="dxa"/>
            <w:tcBorders>
              <w:top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68"/>
              <w:ind w:left="12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4" w:type="dxa"/>
            <w:tcBorders>
              <w:top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70"/>
              <w:ind w:left="11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4" w:type="dxa"/>
            <w:tcBorders>
              <w:top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70"/>
              <w:ind w:left="12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4" w:type="dxa"/>
            <w:tcBorders>
              <w:top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72"/>
              <w:ind w:left="12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54" w:type="dxa"/>
            <w:tcBorders>
              <w:top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72"/>
              <w:ind w:left="10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bottom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916" w:sz="6" w:space="0"/>
            <w:left w:val="single" w:color="231916" w:sz="6" w:space="0"/>
            <w:bottom w:val="single" w:color="231916" w:sz="6" w:space="0"/>
            <w:right w:val="single" w:color="231916" w:sz="6" w:space="0"/>
            <w:insideH w:val="single" w:color="231916" w:sz="6" w:space="0"/>
            <w:insideV w:val="single" w:color="23191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54" w:type="dxa"/>
            <w:tcBorders>
              <w:top w:val="single" w:color="231916" w:sz="4" w:space="0"/>
              <w:right w:val="single" w:color="231916" w:sz="4" w:space="0"/>
            </w:tcBorders>
          </w:tcPr>
          <w:p>
            <w:pPr>
              <w:pStyle w:val="7"/>
              <w:spacing w:before="74"/>
              <w:ind w:left="15"/>
              <w:jc w:val="center"/>
              <w:rPr>
                <w:sz w:val="24"/>
              </w:rPr>
            </w:pPr>
            <w:r>
              <w:rPr>
                <w:color w:val="231916"/>
                <w:sz w:val="24"/>
              </w:rPr>
              <w:t>8</w:t>
            </w: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  <w:righ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color="231916" w:sz="4" w:space="0"/>
              <w:left w:val="single" w:color="231916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before="96"/>
        <w:ind w:left="117" w:right="0" w:firstLine="0"/>
        <w:jc w:val="left"/>
        <w:rPr>
          <w:b/>
          <w:sz w:val="25"/>
        </w:rPr>
      </w:pPr>
      <w:r>
        <w:rPr>
          <w:b/>
          <w:color w:val="231916"/>
          <w:sz w:val="25"/>
        </w:rPr>
        <w:t>表单说明</w:t>
      </w:r>
    </w:p>
    <w:p>
      <w:pPr>
        <w:pStyle w:val="6"/>
        <w:numPr>
          <w:ilvl w:val="0"/>
          <w:numId w:val="1"/>
        </w:numPr>
        <w:tabs>
          <w:tab w:val="left" w:pos="716"/>
        </w:tabs>
        <w:spacing w:before="3" w:after="0" w:line="223" w:lineRule="exact"/>
        <w:ind w:left="715" w:right="0" w:hanging="200"/>
        <w:jc w:val="left"/>
        <w:rPr>
          <w:sz w:val="18"/>
        </w:rPr>
      </w:pPr>
      <w:r>
        <w:rPr>
          <w:color w:val="231916"/>
          <w:spacing w:val="13"/>
          <w:sz w:val="18"/>
        </w:rPr>
        <w:t>.本表用于噪声的基础信息采集。表内带</w:t>
      </w:r>
      <w:r>
        <w:rPr>
          <w:color w:val="231916"/>
          <w:sz w:val="18"/>
        </w:rPr>
        <w:t>*</w:t>
      </w:r>
      <w:r>
        <w:rPr>
          <w:color w:val="231916"/>
          <w:spacing w:val="15"/>
          <w:sz w:val="18"/>
        </w:rPr>
        <w:t>的为必填项。</w:t>
      </w:r>
    </w:p>
    <w:p>
      <w:pPr>
        <w:pStyle w:val="6"/>
        <w:numPr>
          <w:ilvl w:val="0"/>
          <w:numId w:val="1"/>
        </w:numPr>
        <w:tabs>
          <w:tab w:val="left" w:pos="823"/>
        </w:tabs>
        <w:spacing w:before="3" w:after="0" w:line="225" w:lineRule="auto"/>
        <w:ind w:left="118" w:right="512" w:firstLine="397"/>
        <w:jc w:val="both"/>
        <w:rPr>
          <w:sz w:val="18"/>
        </w:rPr>
      </w:pPr>
      <w:r>
        <w:rPr>
          <w:color w:val="231916"/>
          <w:spacing w:val="4"/>
          <w:sz w:val="18"/>
        </w:rPr>
        <w:t>．“功能区类型”： 填写“</w:t>
      </w:r>
      <w:r>
        <w:rPr>
          <w:color w:val="231916"/>
          <w:sz w:val="18"/>
        </w:rPr>
        <w:t>0</w:t>
      </w:r>
      <w:r>
        <w:rPr>
          <w:color w:val="231916"/>
          <w:spacing w:val="14"/>
          <w:sz w:val="18"/>
        </w:rPr>
        <w:t>类”、“</w:t>
      </w:r>
      <w:r>
        <w:rPr>
          <w:color w:val="231916"/>
          <w:sz w:val="18"/>
        </w:rPr>
        <w:t>1</w:t>
      </w:r>
      <w:r>
        <w:rPr>
          <w:color w:val="231916"/>
          <w:spacing w:val="14"/>
          <w:sz w:val="18"/>
        </w:rPr>
        <w:t>类”、“</w:t>
      </w:r>
      <w:r>
        <w:rPr>
          <w:color w:val="231916"/>
          <w:sz w:val="18"/>
        </w:rPr>
        <w:t>2</w:t>
      </w:r>
      <w:r>
        <w:rPr>
          <w:color w:val="231916"/>
          <w:spacing w:val="14"/>
          <w:sz w:val="18"/>
        </w:rPr>
        <w:t>类”、“</w:t>
      </w:r>
      <w:r>
        <w:rPr>
          <w:color w:val="231916"/>
          <w:sz w:val="18"/>
        </w:rPr>
        <w:t>3</w:t>
      </w:r>
      <w:r>
        <w:rPr>
          <w:color w:val="231916"/>
          <w:spacing w:val="14"/>
          <w:sz w:val="18"/>
        </w:rPr>
        <w:t>类”、“</w:t>
      </w:r>
      <w:r>
        <w:rPr>
          <w:color w:val="231916"/>
          <w:sz w:val="18"/>
        </w:rPr>
        <w:t>4</w:t>
      </w:r>
      <w:r>
        <w:rPr>
          <w:color w:val="231916"/>
          <w:spacing w:val="-71"/>
          <w:sz w:val="18"/>
        </w:rPr>
        <w:t xml:space="preserve"> </w:t>
      </w:r>
      <w:r>
        <w:rPr>
          <w:color w:val="231916"/>
          <w:sz w:val="18"/>
        </w:rPr>
        <w:t>a</w:t>
      </w:r>
      <w:r>
        <w:rPr>
          <w:color w:val="231916"/>
          <w:spacing w:val="-9"/>
          <w:sz w:val="18"/>
        </w:rPr>
        <w:t>类” 或 “</w:t>
      </w:r>
      <w:r>
        <w:rPr>
          <w:color w:val="231916"/>
          <w:sz w:val="18"/>
        </w:rPr>
        <w:t>4</w:t>
      </w:r>
      <w:r>
        <w:rPr>
          <w:color w:val="231916"/>
          <w:spacing w:val="-71"/>
          <w:sz w:val="18"/>
        </w:rPr>
        <w:t xml:space="preserve"> </w:t>
      </w:r>
      <w:r>
        <w:rPr>
          <w:color w:val="231916"/>
          <w:sz w:val="18"/>
        </w:rPr>
        <w:t>b</w:t>
      </w:r>
      <w:r>
        <w:rPr>
          <w:color w:val="231916"/>
          <w:spacing w:val="12"/>
          <w:sz w:val="18"/>
        </w:rPr>
        <w:t>类”。</w:t>
      </w:r>
      <w:r>
        <w:rPr>
          <w:color w:val="231916"/>
          <w:sz w:val="18"/>
        </w:rPr>
        <w:t>0</w:t>
      </w:r>
      <w:r>
        <w:rPr>
          <w:color w:val="231916"/>
          <w:spacing w:val="18"/>
          <w:sz w:val="18"/>
        </w:rPr>
        <w:t>类声环境功能区指康复疗养区等特别需要安静的区域；</w:t>
      </w:r>
      <w:r>
        <w:rPr>
          <w:color w:val="231916"/>
          <w:sz w:val="18"/>
        </w:rPr>
        <w:t>1</w:t>
      </w:r>
      <w:r>
        <w:rPr>
          <w:color w:val="231916"/>
          <w:spacing w:val="19"/>
          <w:sz w:val="18"/>
        </w:rPr>
        <w:t>类声环境功能区</w:t>
      </w:r>
      <w:r>
        <w:rPr>
          <w:color w:val="231916"/>
          <w:spacing w:val="8"/>
          <w:sz w:val="18"/>
        </w:rPr>
        <w:t xml:space="preserve">指以居民住宅、医疗卫生、文化教育、科研设计、行政办公为主要功能， 需要保持安静的区域； </w:t>
      </w:r>
      <w:r>
        <w:rPr>
          <w:color w:val="231916"/>
          <w:sz w:val="18"/>
        </w:rPr>
        <w:t>2</w:t>
      </w:r>
      <w:r>
        <w:rPr>
          <w:color w:val="231916"/>
          <w:spacing w:val="14"/>
          <w:sz w:val="18"/>
        </w:rPr>
        <w:t>类声环境功能区指以商业金融、集市贸易为主要功能， 或者居住、商业</w:t>
      </w:r>
      <w:r>
        <w:rPr>
          <w:color w:val="231916"/>
          <w:spacing w:val="6"/>
          <w:sz w:val="18"/>
        </w:rPr>
        <w:t>、工业混杂， 需要维护住宅安静的区域</w:t>
      </w:r>
      <w:r>
        <w:rPr>
          <w:color w:val="231916"/>
          <w:sz w:val="18"/>
        </w:rPr>
        <w:t>；3</w:t>
      </w:r>
      <w:r>
        <w:rPr>
          <w:color w:val="231916"/>
          <w:spacing w:val="11"/>
          <w:sz w:val="18"/>
        </w:rPr>
        <w:t xml:space="preserve">类声环境功能区指以工业生产、仓储物流为主要功能， 需要防止工业噪声对周围环境产生严重影响的区域； </w:t>
      </w:r>
      <w:r>
        <w:rPr>
          <w:color w:val="231916"/>
          <w:sz w:val="18"/>
        </w:rPr>
        <w:t>4</w:t>
      </w:r>
      <w:r>
        <w:rPr>
          <w:color w:val="231916"/>
          <w:spacing w:val="18"/>
          <w:sz w:val="18"/>
        </w:rPr>
        <w:t>类声环境功能区指</w:t>
      </w:r>
      <w:r>
        <w:rPr>
          <w:color w:val="231916"/>
          <w:spacing w:val="2"/>
          <w:sz w:val="18"/>
        </w:rPr>
        <w:t>交通干线两侧一定距离之内， 需要防止交通噪声对周围环境产生严重影响的区域， 包括</w:t>
      </w:r>
      <w:r>
        <w:rPr>
          <w:color w:val="231916"/>
          <w:sz w:val="18"/>
        </w:rPr>
        <w:t>4</w:t>
      </w:r>
      <w:r>
        <w:rPr>
          <w:color w:val="231916"/>
          <w:spacing w:val="-71"/>
          <w:sz w:val="18"/>
        </w:rPr>
        <w:t xml:space="preserve"> </w:t>
      </w:r>
      <w:r>
        <w:rPr>
          <w:color w:val="231916"/>
          <w:sz w:val="18"/>
        </w:rPr>
        <w:t>a</w:t>
      </w:r>
      <w:r>
        <w:rPr>
          <w:color w:val="231916"/>
          <w:spacing w:val="9"/>
          <w:sz w:val="18"/>
        </w:rPr>
        <w:t>类和</w:t>
      </w:r>
      <w:r>
        <w:rPr>
          <w:color w:val="231916"/>
          <w:sz w:val="18"/>
        </w:rPr>
        <w:t>4</w:t>
      </w:r>
      <w:r>
        <w:rPr>
          <w:color w:val="231916"/>
          <w:spacing w:val="-72"/>
          <w:sz w:val="18"/>
        </w:rPr>
        <w:t xml:space="preserve"> </w:t>
      </w:r>
      <w:r>
        <w:rPr>
          <w:color w:val="231916"/>
          <w:sz w:val="18"/>
        </w:rPr>
        <w:t>b</w:t>
      </w:r>
      <w:r>
        <w:rPr>
          <w:color w:val="231916"/>
          <w:spacing w:val="9"/>
          <w:sz w:val="18"/>
        </w:rPr>
        <w:t>类，</w:t>
      </w:r>
      <w:r>
        <w:rPr>
          <w:color w:val="231916"/>
          <w:sz w:val="18"/>
        </w:rPr>
        <w:t>4</w:t>
      </w:r>
      <w:r>
        <w:rPr>
          <w:color w:val="231916"/>
          <w:spacing w:val="-72"/>
          <w:sz w:val="18"/>
        </w:rPr>
        <w:t xml:space="preserve"> </w:t>
      </w:r>
      <w:r>
        <w:rPr>
          <w:color w:val="231916"/>
          <w:sz w:val="18"/>
        </w:rPr>
        <w:t>a</w:t>
      </w:r>
      <w:r>
        <w:rPr>
          <w:color w:val="231916"/>
          <w:spacing w:val="19"/>
          <w:sz w:val="18"/>
        </w:rPr>
        <w:t>类为高速公路、一级公路、二级公路、城市快速路、城市主干路、</w:t>
      </w:r>
      <w:r>
        <w:rPr>
          <w:color w:val="231916"/>
          <w:spacing w:val="14"/>
          <w:sz w:val="18"/>
        </w:rPr>
        <w:t>城市次干路、城市轨道交通</w:t>
      </w:r>
      <w:r>
        <w:rPr>
          <w:color w:val="231916"/>
          <w:sz w:val="18"/>
        </w:rPr>
        <w:t>（</w:t>
      </w:r>
      <w:r>
        <w:rPr>
          <w:color w:val="231916"/>
          <w:spacing w:val="-5"/>
          <w:sz w:val="18"/>
        </w:rPr>
        <w:t xml:space="preserve"> 地面段</w:t>
      </w:r>
      <w:r>
        <w:rPr>
          <w:color w:val="231916"/>
          <w:spacing w:val="18"/>
          <w:sz w:val="18"/>
        </w:rPr>
        <w:t>）、内河航道两侧区域</w:t>
      </w:r>
      <w:r>
        <w:rPr>
          <w:color w:val="231916"/>
          <w:sz w:val="18"/>
        </w:rPr>
        <w:t>，4</w:t>
      </w:r>
      <w:r>
        <w:rPr>
          <w:color w:val="231916"/>
          <w:spacing w:val="-72"/>
          <w:sz w:val="18"/>
        </w:rPr>
        <w:t xml:space="preserve"> </w:t>
      </w:r>
      <w:r>
        <w:rPr>
          <w:color w:val="231916"/>
          <w:sz w:val="18"/>
        </w:rPr>
        <w:t>b</w:t>
      </w:r>
      <w:r>
        <w:rPr>
          <w:color w:val="231916"/>
          <w:spacing w:val="16"/>
          <w:sz w:val="18"/>
        </w:rPr>
        <w:t>类为铁路干线两侧区域。</w:t>
      </w:r>
    </w:p>
    <w:p>
      <w:pPr>
        <w:pStyle w:val="6"/>
        <w:numPr>
          <w:ilvl w:val="0"/>
          <w:numId w:val="1"/>
        </w:numPr>
        <w:tabs>
          <w:tab w:val="left" w:pos="822"/>
        </w:tabs>
        <w:spacing w:before="0" w:after="0" w:line="209" w:lineRule="exact"/>
        <w:ind w:left="821" w:right="0" w:hanging="307"/>
        <w:jc w:val="left"/>
        <w:rPr>
          <w:sz w:val="18"/>
        </w:rPr>
      </w:pPr>
      <w:r>
        <w:rPr>
          <w:color w:val="231916"/>
          <w:spacing w:val="-5"/>
          <w:sz w:val="18"/>
        </w:rPr>
        <w:t>．“是否昼夜产生”： 填写“ 是” 或“ 否”。</w:t>
      </w:r>
    </w:p>
    <w:p>
      <w:pPr>
        <w:pStyle w:val="6"/>
        <w:numPr>
          <w:ilvl w:val="0"/>
          <w:numId w:val="1"/>
        </w:numPr>
        <w:tabs>
          <w:tab w:val="left" w:pos="822"/>
        </w:tabs>
        <w:spacing w:before="0" w:after="0" w:line="216" w:lineRule="exact"/>
        <w:ind w:left="821" w:right="0" w:hanging="307"/>
        <w:jc w:val="left"/>
        <w:rPr>
          <w:sz w:val="18"/>
        </w:rPr>
      </w:pPr>
      <w:r>
        <w:rPr>
          <w:color w:val="231916"/>
          <w:spacing w:val="5"/>
          <w:sz w:val="18"/>
        </w:rPr>
        <w:t>．“执行标准”： 按照孰严原则选择填写国家或地方噪声排放标准名称及编号。</w:t>
      </w:r>
    </w:p>
    <w:p>
      <w:pPr>
        <w:pStyle w:val="6"/>
        <w:numPr>
          <w:ilvl w:val="0"/>
          <w:numId w:val="1"/>
        </w:numPr>
        <w:tabs>
          <w:tab w:val="left" w:pos="822"/>
        </w:tabs>
        <w:spacing w:before="0" w:after="0" w:line="223" w:lineRule="exact"/>
        <w:ind w:left="821" w:right="0" w:hanging="307"/>
        <w:jc w:val="left"/>
        <w:rPr>
          <w:sz w:val="18"/>
        </w:rPr>
      </w:pPr>
      <w:r>
        <w:rPr>
          <w:color w:val="231916"/>
          <w:spacing w:val="14"/>
          <w:sz w:val="18"/>
        </w:rPr>
        <w:t>．“标准限值</w:t>
      </w:r>
      <w:r>
        <w:rPr>
          <w:color w:val="231916"/>
          <w:sz w:val="18"/>
        </w:rPr>
        <w:t>（</w:t>
      </w:r>
      <w:r>
        <w:rPr>
          <w:color w:val="231916"/>
          <w:spacing w:val="-12"/>
          <w:sz w:val="18"/>
        </w:rPr>
        <w:t xml:space="preserve"> 分贝</w:t>
      </w:r>
      <w:r>
        <w:rPr>
          <w:color w:val="231916"/>
          <w:spacing w:val="12"/>
          <w:sz w:val="18"/>
        </w:rPr>
        <w:t>）</w:t>
      </w:r>
      <w:r>
        <w:rPr>
          <w:color w:val="231916"/>
          <w:spacing w:val="-2"/>
          <w:sz w:val="18"/>
        </w:rPr>
        <w:t>”： 按照所属声功能区的执行标准中对应的“ 标准限值” 填写。</w:t>
      </w:r>
    </w:p>
    <w:sectPr>
      <w:type w:val="continuous"/>
      <w:pgSz w:w="16840" w:h="11910" w:orient="landscape"/>
      <w:pgMar w:top="140" w:right="460" w:bottom="28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715" w:hanging="199"/>
        <w:jc w:val="left"/>
      </w:pPr>
      <w:rPr>
        <w:rFonts w:hint="default" w:ascii="宋体" w:hAnsi="宋体" w:eastAsia="宋体" w:cs="宋体"/>
        <w:color w:val="231916"/>
        <w:spacing w:val="-7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1" w:hanging="19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643" w:hanging="19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05" w:hanging="19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567" w:hanging="19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28" w:hanging="19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490" w:hanging="19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952" w:hanging="19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414" w:hanging="1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35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line="223" w:lineRule="exact"/>
      <w:ind w:left="821" w:hanging="307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2019-10-29T06:41:00Z</dcterms:created>
  <dc:creator>Administrator</dc:creator>
  <cp:lastModifiedBy>罗罗罗妈妈</cp:lastModifiedBy>
  <dcterms:modified xsi:type="dcterms:W3CDTF">2019-10-29T06:41:25Z</dcterms:modified>
  <dc:title>A01073噪声基础信息采集表.cdr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2052-11.1.0.9175</vt:lpwstr>
  </property>
</Properties>
</file>