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189" w:rsidRDefault="00490189" w:rsidP="00490189">
      <w:pPr>
        <w:pStyle w:val="SBBT2"/>
      </w:pPr>
      <w:bookmarkStart w:id="0" w:name="_Toc499456605"/>
      <w:r w:rsidRPr="00E06374">
        <w:rPr>
          <w:rFonts w:hint="eastAsia"/>
        </w:rPr>
        <w:t>A107030</w:t>
      </w:r>
      <w:r>
        <w:tab/>
      </w:r>
      <w:r w:rsidRPr="00E06374">
        <w:rPr>
          <w:rFonts w:hint="eastAsia"/>
        </w:rPr>
        <w:t>抵扣应纳税所得额明细表</w:t>
      </w:r>
      <w:bookmarkEnd w:id="0"/>
    </w:p>
    <w:tbl>
      <w:tblPr>
        <w:tblW w:w="144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6760"/>
        <w:gridCol w:w="2320"/>
        <w:gridCol w:w="2500"/>
        <w:gridCol w:w="2220"/>
      </w:tblGrid>
      <w:tr w:rsidR="00490189" w:rsidRPr="00E06374" w:rsidTr="00320449">
        <w:trPr>
          <w:trHeight w:val="597"/>
          <w:jc w:val="center"/>
        </w:trPr>
        <w:tc>
          <w:tcPr>
            <w:tcW w:w="640" w:type="dxa"/>
            <w:vMerge w:val="restart"/>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行次</w:t>
            </w:r>
          </w:p>
        </w:tc>
        <w:tc>
          <w:tcPr>
            <w:tcW w:w="6760" w:type="dxa"/>
            <w:vMerge w:val="restart"/>
            <w:shd w:val="clear" w:color="auto" w:fill="auto"/>
            <w:vAlign w:val="center"/>
          </w:tcPr>
          <w:p w:rsidR="00490189" w:rsidRPr="00E06374" w:rsidRDefault="00490189" w:rsidP="00320449">
            <w:pPr>
              <w:widowControl/>
              <w:jc w:val="center"/>
              <w:rPr>
                <w:rFonts w:ascii="宋体" w:hAnsi="宋体" w:cs="宋体"/>
                <w:kern w:val="0"/>
                <w:sz w:val="20"/>
                <w:szCs w:val="20"/>
              </w:rPr>
            </w:pPr>
            <w:r w:rsidRPr="00490189">
              <w:rPr>
                <w:rFonts w:ascii="宋体" w:hAnsi="宋体" w:cs="宋体" w:hint="eastAsia"/>
                <w:spacing w:val="495"/>
                <w:kern w:val="0"/>
                <w:sz w:val="20"/>
                <w:szCs w:val="20"/>
                <w:fitText w:val="1400" w:id="-1858947328"/>
              </w:rPr>
              <w:t>项</w:t>
            </w:r>
            <w:r w:rsidRPr="00490189">
              <w:rPr>
                <w:rFonts w:ascii="宋体" w:hAnsi="宋体" w:cs="宋体" w:hint="eastAsia"/>
                <w:spacing w:val="7"/>
                <w:kern w:val="0"/>
                <w:sz w:val="20"/>
                <w:szCs w:val="20"/>
                <w:fitText w:val="1400" w:id="-1858947328"/>
              </w:rPr>
              <w:t>目</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合计金额</w:t>
            </w:r>
          </w:p>
        </w:tc>
        <w:tc>
          <w:tcPr>
            <w:tcW w:w="250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投资于未上市中小高新技术企业</w:t>
            </w:r>
          </w:p>
        </w:tc>
        <w:tc>
          <w:tcPr>
            <w:tcW w:w="222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投资于种子期、初创期科技型企业</w:t>
            </w:r>
          </w:p>
        </w:tc>
      </w:tr>
      <w:tr w:rsidR="00490189" w:rsidRPr="00E06374" w:rsidTr="00320449">
        <w:trPr>
          <w:trHeight w:val="285"/>
          <w:jc w:val="center"/>
        </w:trPr>
        <w:tc>
          <w:tcPr>
            <w:tcW w:w="640" w:type="dxa"/>
            <w:vMerge/>
            <w:vAlign w:val="center"/>
          </w:tcPr>
          <w:p w:rsidR="00490189" w:rsidRPr="00E06374" w:rsidRDefault="00490189" w:rsidP="00320449">
            <w:pPr>
              <w:widowControl/>
              <w:jc w:val="left"/>
              <w:rPr>
                <w:rFonts w:ascii="宋体" w:hAnsi="宋体" w:cs="宋体"/>
                <w:kern w:val="0"/>
                <w:sz w:val="20"/>
                <w:szCs w:val="20"/>
              </w:rPr>
            </w:pPr>
          </w:p>
        </w:tc>
        <w:tc>
          <w:tcPr>
            <w:tcW w:w="6760" w:type="dxa"/>
            <w:vMerge/>
            <w:vAlign w:val="center"/>
          </w:tcPr>
          <w:p w:rsidR="00490189" w:rsidRPr="00E06374" w:rsidRDefault="00490189" w:rsidP="00320449">
            <w:pPr>
              <w:widowControl/>
              <w:jc w:val="left"/>
              <w:rPr>
                <w:rFonts w:ascii="宋体" w:hAnsi="宋体" w:cs="宋体"/>
                <w:kern w:val="0"/>
                <w:sz w:val="20"/>
                <w:szCs w:val="20"/>
              </w:rPr>
            </w:pP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1=2+3</w:t>
            </w:r>
          </w:p>
        </w:tc>
        <w:tc>
          <w:tcPr>
            <w:tcW w:w="250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2</w:t>
            </w:r>
          </w:p>
        </w:tc>
        <w:tc>
          <w:tcPr>
            <w:tcW w:w="222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3</w:t>
            </w:r>
          </w:p>
        </w:tc>
      </w:tr>
      <w:tr w:rsidR="00490189" w:rsidRPr="00E06374" w:rsidTr="00320449">
        <w:trPr>
          <w:trHeight w:val="360"/>
          <w:jc w:val="center"/>
        </w:trPr>
        <w:tc>
          <w:tcPr>
            <w:tcW w:w="14440" w:type="dxa"/>
            <w:gridSpan w:val="5"/>
            <w:shd w:val="clear" w:color="auto" w:fill="auto"/>
            <w:vAlign w:val="center"/>
          </w:tcPr>
          <w:p w:rsidR="00490189" w:rsidRPr="00E06374" w:rsidRDefault="00490189" w:rsidP="00320449">
            <w:pPr>
              <w:widowControl/>
              <w:jc w:val="left"/>
              <w:rPr>
                <w:rFonts w:ascii="宋体" w:hAnsi="宋体" w:cs="宋体"/>
                <w:b/>
                <w:bCs/>
                <w:kern w:val="0"/>
                <w:sz w:val="20"/>
                <w:szCs w:val="20"/>
              </w:rPr>
            </w:pPr>
            <w:r w:rsidRPr="00E06374">
              <w:rPr>
                <w:rFonts w:ascii="宋体" w:hAnsi="宋体" w:cs="宋体" w:hint="eastAsia"/>
                <w:b/>
                <w:bCs/>
                <w:kern w:val="0"/>
                <w:sz w:val="20"/>
                <w:szCs w:val="20"/>
              </w:rPr>
              <w:t>一、创业投资企业直接投资按投资额一定比例抵扣应纳税所得额</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1</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本年新增的符合条件的股权投资额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vAlign w:val="center"/>
          </w:tcPr>
          <w:p w:rsidR="00490189" w:rsidRPr="00E06374" w:rsidRDefault="00490189" w:rsidP="00320449">
            <w:pPr>
              <w:widowControl/>
              <w:jc w:val="center"/>
              <w:rPr>
                <w:rFonts w:ascii="宋体" w:hAnsi="宋体" w:cs="宋体"/>
                <w:kern w:val="0"/>
                <w:sz w:val="24"/>
              </w:rPr>
            </w:pPr>
          </w:p>
        </w:tc>
        <w:tc>
          <w:tcPr>
            <w:tcW w:w="2220" w:type="dxa"/>
            <w:shd w:val="clear" w:color="auto" w:fill="auto"/>
            <w:vAlign w:val="center"/>
          </w:tcPr>
          <w:p w:rsidR="00490189" w:rsidRPr="00E06374" w:rsidRDefault="00490189" w:rsidP="00320449">
            <w:pPr>
              <w:widowControl/>
              <w:jc w:val="center"/>
              <w:rPr>
                <w:rFonts w:ascii="宋体" w:hAnsi="宋体" w:cs="宋体"/>
                <w:kern w:val="0"/>
                <w:sz w:val="24"/>
              </w:rPr>
            </w:pP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2</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税收规定的抵扣率</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70%</w:t>
            </w:r>
          </w:p>
        </w:tc>
        <w:tc>
          <w:tcPr>
            <w:tcW w:w="250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70%</w:t>
            </w:r>
          </w:p>
        </w:tc>
        <w:tc>
          <w:tcPr>
            <w:tcW w:w="222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70%</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3</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本年新增的可抵扣的股权投资额（1×2）</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vAlign w:val="center"/>
          </w:tcPr>
          <w:p w:rsidR="00490189" w:rsidRPr="00E06374" w:rsidRDefault="00490189" w:rsidP="00320449">
            <w:pPr>
              <w:widowControl/>
              <w:jc w:val="center"/>
              <w:rPr>
                <w:rFonts w:ascii="宋体" w:hAnsi="宋体" w:cs="宋体"/>
                <w:kern w:val="0"/>
                <w:sz w:val="24"/>
              </w:rPr>
            </w:pPr>
          </w:p>
        </w:tc>
        <w:tc>
          <w:tcPr>
            <w:tcW w:w="2220" w:type="dxa"/>
            <w:shd w:val="clear" w:color="auto" w:fill="auto"/>
            <w:vAlign w:val="center"/>
          </w:tcPr>
          <w:p w:rsidR="00490189" w:rsidRPr="00E06374" w:rsidRDefault="00490189" w:rsidP="00320449">
            <w:pPr>
              <w:widowControl/>
              <w:jc w:val="center"/>
              <w:rPr>
                <w:rFonts w:ascii="宋体" w:hAnsi="宋体" w:cs="宋体"/>
                <w:kern w:val="0"/>
                <w:sz w:val="24"/>
              </w:rPr>
            </w:pP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4</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以前年度结转的尚未抵扣的股权投资余额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5</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本年可抵扣的股权投资额（3+4）</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6</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本年可用于抵扣的应纳税所得额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7</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本年实际抵扣应纳税所得额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vAlign w:val="center"/>
          </w:tcPr>
          <w:p w:rsidR="00490189" w:rsidRPr="00E06374" w:rsidRDefault="00490189" w:rsidP="00320449">
            <w:pPr>
              <w:widowControl/>
              <w:jc w:val="center"/>
              <w:rPr>
                <w:rFonts w:ascii="宋体" w:hAnsi="宋体" w:cs="宋体"/>
                <w:kern w:val="0"/>
                <w:sz w:val="24"/>
              </w:rPr>
            </w:pPr>
          </w:p>
        </w:tc>
        <w:tc>
          <w:tcPr>
            <w:tcW w:w="2220" w:type="dxa"/>
            <w:shd w:val="clear" w:color="auto" w:fill="auto"/>
            <w:vAlign w:val="center"/>
          </w:tcPr>
          <w:p w:rsidR="00490189" w:rsidRPr="00E06374" w:rsidRDefault="00490189" w:rsidP="00320449">
            <w:pPr>
              <w:widowControl/>
              <w:jc w:val="center"/>
              <w:rPr>
                <w:rFonts w:ascii="宋体" w:hAnsi="宋体" w:cs="宋体"/>
                <w:kern w:val="0"/>
                <w:sz w:val="24"/>
              </w:rPr>
            </w:pP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8</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结转以后年度抵扣的股权投资余额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490189" w:rsidRPr="00E06374" w:rsidTr="00320449">
        <w:trPr>
          <w:trHeight w:val="360"/>
          <w:jc w:val="center"/>
        </w:trPr>
        <w:tc>
          <w:tcPr>
            <w:tcW w:w="14440" w:type="dxa"/>
            <w:gridSpan w:val="5"/>
            <w:shd w:val="clear" w:color="auto" w:fill="auto"/>
            <w:vAlign w:val="center"/>
          </w:tcPr>
          <w:p w:rsidR="00490189" w:rsidRPr="00E06374" w:rsidRDefault="00490189" w:rsidP="00320449">
            <w:pPr>
              <w:widowControl/>
              <w:jc w:val="left"/>
              <w:rPr>
                <w:rFonts w:ascii="宋体" w:hAnsi="宋体" w:cs="宋体"/>
                <w:b/>
                <w:bCs/>
                <w:kern w:val="0"/>
                <w:sz w:val="20"/>
                <w:szCs w:val="20"/>
              </w:rPr>
            </w:pPr>
            <w:r w:rsidRPr="00E06374">
              <w:rPr>
                <w:rFonts w:ascii="宋体" w:hAnsi="宋体" w:cs="宋体" w:hint="eastAsia"/>
                <w:b/>
                <w:bCs/>
                <w:kern w:val="0"/>
                <w:sz w:val="20"/>
                <w:szCs w:val="20"/>
              </w:rPr>
              <w:t>二、通过有限合伙制创业投资企业投资按一定比例抵扣分得的应纳税所得额</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9</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本年从有限合伙创投企业应分得的应纳税所得额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vAlign w:val="center"/>
          </w:tcPr>
          <w:p w:rsidR="00490189" w:rsidRPr="00E06374" w:rsidRDefault="00490189" w:rsidP="00320449">
            <w:pPr>
              <w:widowControl/>
              <w:jc w:val="center"/>
              <w:rPr>
                <w:rFonts w:ascii="宋体" w:hAnsi="宋体" w:cs="宋体"/>
                <w:kern w:val="0"/>
                <w:sz w:val="24"/>
              </w:rPr>
            </w:pPr>
          </w:p>
        </w:tc>
        <w:tc>
          <w:tcPr>
            <w:tcW w:w="2220" w:type="dxa"/>
            <w:shd w:val="clear" w:color="auto" w:fill="auto"/>
            <w:vAlign w:val="center"/>
          </w:tcPr>
          <w:p w:rsidR="00490189" w:rsidRPr="00E06374" w:rsidRDefault="00490189" w:rsidP="00320449">
            <w:pPr>
              <w:widowControl/>
              <w:jc w:val="center"/>
              <w:rPr>
                <w:rFonts w:ascii="宋体" w:hAnsi="宋体" w:cs="宋体"/>
                <w:kern w:val="0"/>
                <w:sz w:val="24"/>
              </w:rPr>
            </w:pP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10</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本年新增的可抵扣投资额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vAlign w:val="center"/>
          </w:tcPr>
          <w:p w:rsidR="00490189" w:rsidRPr="00E06374" w:rsidRDefault="00490189" w:rsidP="00320449">
            <w:pPr>
              <w:widowControl/>
              <w:jc w:val="center"/>
              <w:rPr>
                <w:rFonts w:ascii="宋体" w:hAnsi="宋体" w:cs="宋体"/>
                <w:kern w:val="0"/>
                <w:sz w:val="24"/>
              </w:rPr>
            </w:pPr>
          </w:p>
        </w:tc>
        <w:tc>
          <w:tcPr>
            <w:tcW w:w="2220" w:type="dxa"/>
            <w:shd w:val="clear" w:color="auto" w:fill="auto"/>
            <w:vAlign w:val="center"/>
          </w:tcPr>
          <w:p w:rsidR="00490189" w:rsidRPr="00E06374" w:rsidRDefault="00490189" w:rsidP="00320449">
            <w:pPr>
              <w:widowControl/>
              <w:jc w:val="center"/>
              <w:rPr>
                <w:rFonts w:ascii="宋体" w:hAnsi="宋体" w:cs="宋体"/>
                <w:kern w:val="0"/>
                <w:sz w:val="24"/>
              </w:rPr>
            </w:pP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11</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以前年度结转的可抵扣投资额余额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12</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本年可抵扣投资额（10</w:t>
            </w:r>
            <w:r>
              <w:rPr>
                <w:rFonts w:ascii="宋体" w:hAnsi="宋体" w:cs="宋体" w:hint="eastAsia"/>
                <w:kern w:val="0"/>
                <w:sz w:val="20"/>
                <w:szCs w:val="20"/>
              </w:rPr>
              <w:t>+</w:t>
            </w:r>
            <w:r w:rsidRPr="00E06374">
              <w:rPr>
                <w:rFonts w:ascii="宋体" w:hAnsi="宋体" w:cs="宋体" w:hint="eastAsia"/>
                <w:kern w:val="0"/>
                <w:sz w:val="20"/>
                <w:szCs w:val="20"/>
              </w:rPr>
              <w:t>11）</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13</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本年实际抵扣应分得的应纳税所得额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vAlign w:val="center"/>
          </w:tcPr>
          <w:p w:rsidR="00490189" w:rsidRPr="00E06374" w:rsidRDefault="00490189" w:rsidP="00320449">
            <w:pPr>
              <w:widowControl/>
              <w:jc w:val="center"/>
              <w:rPr>
                <w:rFonts w:ascii="宋体" w:hAnsi="宋体" w:cs="宋体"/>
                <w:kern w:val="0"/>
                <w:sz w:val="24"/>
              </w:rPr>
            </w:pPr>
          </w:p>
        </w:tc>
        <w:tc>
          <w:tcPr>
            <w:tcW w:w="2220" w:type="dxa"/>
            <w:shd w:val="clear" w:color="auto" w:fill="auto"/>
            <w:vAlign w:val="center"/>
          </w:tcPr>
          <w:p w:rsidR="00490189" w:rsidRPr="00E06374" w:rsidRDefault="00490189" w:rsidP="00320449">
            <w:pPr>
              <w:widowControl/>
              <w:jc w:val="center"/>
              <w:rPr>
                <w:rFonts w:ascii="宋体" w:hAnsi="宋体" w:cs="宋体"/>
                <w:kern w:val="0"/>
                <w:sz w:val="24"/>
              </w:rPr>
            </w:pP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14</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结转以后年度抵扣的投资额余额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490189" w:rsidRPr="00E06374" w:rsidTr="00320449">
        <w:trPr>
          <w:trHeight w:val="360"/>
          <w:jc w:val="center"/>
        </w:trPr>
        <w:tc>
          <w:tcPr>
            <w:tcW w:w="14440" w:type="dxa"/>
            <w:gridSpan w:val="5"/>
            <w:shd w:val="clear" w:color="auto" w:fill="auto"/>
            <w:vAlign w:val="center"/>
          </w:tcPr>
          <w:p w:rsidR="00490189" w:rsidRPr="00E06374" w:rsidRDefault="00490189" w:rsidP="00320449">
            <w:pPr>
              <w:widowControl/>
              <w:jc w:val="left"/>
              <w:rPr>
                <w:rFonts w:ascii="宋体" w:hAnsi="宋体" w:cs="宋体"/>
                <w:b/>
                <w:bCs/>
                <w:kern w:val="0"/>
                <w:sz w:val="20"/>
                <w:szCs w:val="20"/>
              </w:rPr>
            </w:pPr>
            <w:r w:rsidRPr="00E06374">
              <w:rPr>
                <w:rFonts w:ascii="宋体" w:hAnsi="宋体" w:cs="宋体" w:hint="eastAsia"/>
                <w:b/>
                <w:bCs/>
                <w:kern w:val="0"/>
                <w:sz w:val="20"/>
                <w:szCs w:val="20"/>
              </w:rPr>
              <w:t>三、抵扣应纳税所得额合计</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lastRenderedPageBreak/>
              <w:t>15</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合计（7+13）</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vAlign w:val="center"/>
          </w:tcPr>
          <w:p w:rsidR="00490189" w:rsidRPr="00E06374" w:rsidRDefault="00490189" w:rsidP="00320449">
            <w:pPr>
              <w:widowControl/>
              <w:jc w:val="center"/>
              <w:rPr>
                <w:rFonts w:ascii="宋体" w:hAnsi="宋体" w:cs="宋体"/>
                <w:kern w:val="0"/>
                <w:sz w:val="24"/>
              </w:rPr>
            </w:pPr>
          </w:p>
        </w:tc>
        <w:tc>
          <w:tcPr>
            <w:tcW w:w="2220" w:type="dxa"/>
            <w:shd w:val="clear" w:color="auto" w:fill="auto"/>
            <w:noWrap/>
            <w:vAlign w:val="center"/>
          </w:tcPr>
          <w:p w:rsidR="00490189" w:rsidRPr="00E06374" w:rsidRDefault="00490189" w:rsidP="00320449">
            <w:pPr>
              <w:widowControl/>
              <w:jc w:val="center"/>
              <w:rPr>
                <w:rFonts w:ascii="宋体" w:hAnsi="宋体" w:cs="宋体"/>
                <w:kern w:val="0"/>
                <w:sz w:val="24"/>
              </w:rPr>
            </w:pPr>
          </w:p>
        </w:tc>
      </w:tr>
    </w:tbl>
    <w:p w:rsidR="00C607E2" w:rsidRDefault="00C607E2"/>
    <w:sectPr w:rsidR="00C607E2" w:rsidSect="00490189">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90189"/>
    <w:rsid w:val="0001336A"/>
    <w:rsid w:val="0001446F"/>
    <w:rsid w:val="00033740"/>
    <w:rsid w:val="0008549C"/>
    <w:rsid w:val="000962AA"/>
    <w:rsid w:val="000E7D74"/>
    <w:rsid w:val="00101C1F"/>
    <w:rsid w:val="00110412"/>
    <w:rsid w:val="001265A2"/>
    <w:rsid w:val="001310C8"/>
    <w:rsid w:val="0013532C"/>
    <w:rsid w:val="0014415C"/>
    <w:rsid w:val="0027389D"/>
    <w:rsid w:val="002B74E8"/>
    <w:rsid w:val="002D75DF"/>
    <w:rsid w:val="0031594F"/>
    <w:rsid w:val="00323A1E"/>
    <w:rsid w:val="00323AB5"/>
    <w:rsid w:val="00333B3B"/>
    <w:rsid w:val="00361446"/>
    <w:rsid w:val="003A5936"/>
    <w:rsid w:val="003E2C43"/>
    <w:rsid w:val="00411F8D"/>
    <w:rsid w:val="00422B6F"/>
    <w:rsid w:val="00490189"/>
    <w:rsid w:val="004A2C8E"/>
    <w:rsid w:val="0056531D"/>
    <w:rsid w:val="00574CBB"/>
    <w:rsid w:val="00595800"/>
    <w:rsid w:val="005A4D77"/>
    <w:rsid w:val="005D68EC"/>
    <w:rsid w:val="005E65DB"/>
    <w:rsid w:val="005F36BE"/>
    <w:rsid w:val="006305C1"/>
    <w:rsid w:val="0064124D"/>
    <w:rsid w:val="00646B61"/>
    <w:rsid w:val="00647C34"/>
    <w:rsid w:val="006942B2"/>
    <w:rsid w:val="006A189E"/>
    <w:rsid w:val="006B5E53"/>
    <w:rsid w:val="006C67B4"/>
    <w:rsid w:val="006D1921"/>
    <w:rsid w:val="006D400D"/>
    <w:rsid w:val="006E1EE9"/>
    <w:rsid w:val="0071260A"/>
    <w:rsid w:val="007324A1"/>
    <w:rsid w:val="00750505"/>
    <w:rsid w:val="0078104D"/>
    <w:rsid w:val="007B0BFB"/>
    <w:rsid w:val="007B7DBC"/>
    <w:rsid w:val="007E368A"/>
    <w:rsid w:val="007F14AD"/>
    <w:rsid w:val="007F38C0"/>
    <w:rsid w:val="00814B95"/>
    <w:rsid w:val="00816EBF"/>
    <w:rsid w:val="00835E16"/>
    <w:rsid w:val="00840428"/>
    <w:rsid w:val="00847FA4"/>
    <w:rsid w:val="0088007A"/>
    <w:rsid w:val="008827DC"/>
    <w:rsid w:val="008D0E87"/>
    <w:rsid w:val="00926BAA"/>
    <w:rsid w:val="00945900"/>
    <w:rsid w:val="009918F2"/>
    <w:rsid w:val="00994D59"/>
    <w:rsid w:val="009B5DD7"/>
    <w:rsid w:val="009D617A"/>
    <w:rsid w:val="009F221F"/>
    <w:rsid w:val="00A01048"/>
    <w:rsid w:val="00A470CA"/>
    <w:rsid w:val="00A474AF"/>
    <w:rsid w:val="00A54467"/>
    <w:rsid w:val="00A71EBC"/>
    <w:rsid w:val="00A92681"/>
    <w:rsid w:val="00AB19F4"/>
    <w:rsid w:val="00AB24E8"/>
    <w:rsid w:val="00B21BE7"/>
    <w:rsid w:val="00C25031"/>
    <w:rsid w:val="00C607E2"/>
    <w:rsid w:val="00C77BCB"/>
    <w:rsid w:val="00C968BD"/>
    <w:rsid w:val="00CD6383"/>
    <w:rsid w:val="00D168B7"/>
    <w:rsid w:val="00D831E4"/>
    <w:rsid w:val="00DC7BB5"/>
    <w:rsid w:val="00DD1C48"/>
    <w:rsid w:val="00DF0ECC"/>
    <w:rsid w:val="00E01CBD"/>
    <w:rsid w:val="00E04DCC"/>
    <w:rsid w:val="00E10EB8"/>
    <w:rsid w:val="00E21B1B"/>
    <w:rsid w:val="00E34861"/>
    <w:rsid w:val="00E6338A"/>
    <w:rsid w:val="00EB652A"/>
    <w:rsid w:val="00F174EE"/>
    <w:rsid w:val="00F41234"/>
    <w:rsid w:val="00F52048"/>
    <w:rsid w:val="00F57757"/>
    <w:rsid w:val="00FB7CB5"/>
    <w:rsid w:val="00FF72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189"/>
    <w:pPr>
      <w:widowControl w:val="0"/>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BBT2">
    <w:name w:val="SBBT2"/>
    <w:basedOn w:val="a"/>
    <w:qFormat/>
    <w:rsid w:val="00490189"/>
    <w:pPr>
      <w:tabs>
        <w:tab w:val="center" w:pos="6521"/>
      </w:tabs>
      <w:spacing w:line="360" w:lineRule="auto"/>
      <w:jc w:val="left"/>
      <w:outlineLvl w:val="0"/>
    </w:pPr>
    <w:rPr>
      <w:rFonts w:ascii="宋体" w:hAnsi="宋体" w:cs="宋体"/>
      <w:b/>
      <w:bCs/>
      <w:kern w:val="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Words>
  <Characters>432</Characters>
  <Application>Microsoft Office Word</Application>
  <DocSecurity>0</DocSecurity>
  <Lines>3</Lines>
  <Paragraphs>1</Paragraphs>
  <ScaleCrop>false</ScaleCrop>
  <Company>Lenovo</Company>
  <LinksUpToDate>false</LinksUpToDate>
  <CharactersWithSpaces>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宁强</dc:creator>
  <cp:keywords/>
  <dc:description/>
  <cp:lastModifiedBy>宁强</cp:lastModifiedBy>
  <cp:revision>2</cp:revision>
  <dcterms:created xsi:type="dcterms:W3CDTF">2021-01-06T02:55:00Z</dcterms:created>
  <dcterms:modified xsi:type="dcterms:W3CDTF">2021-01-06T02:55:00Z</dcterms:modified>
</cp:coreProperties>
</file>