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right"/>
        <w:rPr>
          <w:rFonts w:ascii="Times New Roman" w:hAnsi="Times New Roman" w:eastAsia="仿宋_GB2312"/>
          <w:b/>
          <w:color w:val="FF0000"/>
          <w:sz w:val="36"/>
          <w:szCs w:val="36"/>
          <w:u w:val="single"/>
        </w:rPr>
      </w:pPr>
      <w:r>
        <w:rPr>
          <w:rFonts w:hint="eastAsia" w:ascii="仿宋_GB2312" w:hAnsi="Arial" w:eastAsia="仿宋_GB2312" w:cs="Arial"/>
          <w:b/>
          <w:sz w:val="36"/>
          <w:szCs w:val="36"/>
        </w:rPr>
        <w:t>项目编号：</w:t>
      </w:r>
      <w:r>
        <w:rPr>
          <w:rFonts w:ascii="Times New Roman" w:hAnsi="Times New Roman" w:eastAsia="仿宋_GB2312"/>
          <w:sz w:val="36"/>
          <w:szCs w:val="36"/>
          <w:u w:val="single"/>
        </w:rPr>
        <w:t>1243-456OTC2402003</w:t>
      </w:r>
    </w:p>
    <w:p>
      <w:pPr>
        <w:pStyle w:val="17"/>
        <w:rPr>
          <w:rFonts w:ascii="仿宋_GB2312" w:hAnsi="Arial" w:eastAsia="仿宋_GB2312" w:cs="Arial"/>
          <w:color w:val="FF0000"/>
          <w:sz w:val="28"/>
        </w:rPr>
      </w:pPr>
    </w:p>
    <w:p>
      <w:pPr>
        <w:pStyle w:val="17"/>
        <w:rPr>
          <w:rFonts w:hint="eastAsia" w:ascii="仿宋_GB2312" w:hAnsi="Arial" w:eastAsia="仿宋_GB2312" w:cs="Arial"/>
          <w:color w:val="FF0000"/>
          <w:sz w:val="28"/>
        </w:rPr>
      </w:pPr>
    </w:p>
    <w:p>
      <w:pPr>
        <w:pStyle w:val="17"/>
        <w:rPr>
          <w:rFonts w:hint="eastAsia" w:ascii="仿宋_GB2312" w:hAnsi="Arial" w:eastAsia="仿宋_GB2312" w:cs="Arial"/>
          <w:color w:val="FF0000"/>
          <w:sz w:val="28"/>
        </w:rPr>
      </w:pPr>
    </w:p>
    <w:p>
      <w:pPr>
        <w:pStyle w:val="17"/>
        <w:rPr>
          <w:rFonts w:hint="eastAsia" w:ascii="仿宋_GB2312" w:hAnsi="Arial" w:eastAsia="仿宋_GB2312" w:cs="Arial"/>
          <w:color w:val="FF0000"/>
          <w:sz w:val="28"/>
        </w:rPr>
      </w:pPr>
    </w:p>
    <w:p>
      <w:pPr>
        <w:pStyle w:val="17"/>
        <w:rPr>
          <w:rFonts w:hint="eastAsia" w:ascii="仿宋_GB2312" w:hAnsi="Arial" w:eastAsia="仿宋_GB2312" w:cs="Arial"/>
          <w:color w:val="FF0000"/>
          <w:sz w:val="28"/>
        </w:rPr>
      </w:pPr>
    </w:p>
    <w:p>
      <w:pPr>
        <w:pStyle w:val="17"/>
        <w:rPr>
          <w:rFonts w:hint="eastAsia" w:ascii="仿宋_GB2312" w:hAnsi="Arial" w:eastAsia="仿宋_GB2312" w:cs="Arial"/>
          <w:color w:val="FF0000"/>
          <w:sz w:val="28"/>
        </w:rPr>
      </w:pPr>
    </w:p>
    <w:p>
      <w:pPr>
        <w:pStyle w:val="17"/>
        <w:rPr>
          <w:rFonts w:hint="eastAsia" w:ascii="仿宋_GB2312" w:hAnsi="Arial" w:eastAsia="仿宋_GB2312" w:cs="Arial"/>
          <w:color w:val="FF0000"/>
          <w:sz w:val="28"/>
        </w:rPr>
      </w:pPr>
    </w:p>
    <w:p>
      <w:pPr>
        <w:pStyle w:val="17"/>
        <w:rPr>
          <w:rFonts w:ascii="仿宋_GB2312" w:hAnsi="Arial" w:eastAsia="仿宋_GB2312" w:cs="Arial"/>
          <w:color w:val="FF0000"/>
          <w:sz w:val="28"/>
        </w:rPr>
      </w:pPr>
    </w:p>
    <w:p>
      <w:pPr>
        <w:pStyle w:val="52"/>
        <w:rPr>
          <w:rFonts w:hint="eastAsia"/>
        </w:rPr>
      </w:pPr>
      <w:r>
        <w:rPr>
          <w:rFonts w:hint="eastAsia"/>
        </w:rPr>
        <w:t>竞争性磋商文件</w:t>
      </w:r>
    </w:p>
    <w:p>
      <w:pPr>
        <w:spacing w:line="312" w:lineRule="auto"/>
        <w:jc w:val="left"/>
        <w:rPr>
          <w:rFonts w:hint="eastAsia" w:ascii="宋体" w:hAnsi="宋体"/>
          <w:b/>
          <w:bCs/>
          <w:color w:val="FF0000"/>
          <w:sz w:val="30"/>
          <w:szCs w:val="30"/>
        </w:rPr>
      </w:pPr>
    </w:p>
    <w:p>
      <w:pPr>
        <w:spacing w:line="312" w:lineRule="auto"/>
        <w:jc w:val="left"/>
        <w:rPr>
          <w:rFonts w:ascii="宋体" w:hAnsi="宋体"/>
          <w:b/>
          <w:bCs/>
          <w:color w:val="FF0000"/>
          <w:sz w:val="30"/>
          <w:szCs w:val="30"/>
        </w:rPr>
      </w:pPr>
    </w:p>
    <w:p>
      <w:pPr>
        <w:adjustRightInd w:val="0"/>
        <w:snapToGrid w:val="0"/>
        <w:spacing w:line="360" w:lineRule="auto"/>
        <w:ind w:right="-200"/>
        <w:rPr>
          <w:rFonts w:hint="eastAsia" w:ascii="仿宋_GB2312" w:hAnsi="宋体" w:eastAsia="仿宋_GB2312"/>
          <w:b/>
          <w:color w:val="FF0000"/>
          <w:sz w:val="30"/>
          <w:szCs w:val="30"/>
        </w:rPr>
      </w:pPr>
    </w:p>
    <w:p>
      <w:pPr>
        <w:adjustRightInd w:val="0"/>
        <w:snapToGrid w:val="0"/>
        <w:spacing w:line="360" w:lineRule="auto"/>
        <w:ind w:right="-200"/>
        <w:rPr>
          <w:rFonts w:hint="eastAsia" w:ascii="仿宋_GB2312" w:hAnsi="宋体" w:eastAsia="仿宋_GB2312"/>
          <w:b/>
          <w:color w:val="FF0000"/>
          <w:sz w:val="30"/>
          <w:szCs w:val="30"/>
        </w:rPr>
      </w:pPr>
    </w:p>
    <w:p>
      <w:pPr>
        <w:adjustRightInd w:val="0"/>
        <w:snapToGrid w:val="0"/>
        <w:spacing w:line="360" w:lineRule="auto"/>
        <w:ind w:right="-200"/>
        <w:rPr>
          <w:rFonts w:ascii="仿宋_GB2312" w:hAnsi="宋体" w:eastAsia="仿宋_GB2312"/>
          <w:b/>
          <w:sz w:val="32"/>
          <w:szCs w:val="32"/>
          <w:u w:val="single"/>
        </w:rPr>
      </w:pPr>
      <w:r>
        <w:rPr>
          <w:rFonts w:hint="eastAsia" w:ascii="仿宋_GB2312" w:hAnsi="宋体" w:eastAsia="仿宋_GB2312"/>
          <w:b/>
          <w:sz w:val="32"/>
          <w:szCs w:val="32"/>
        </w:rPr>
        <w:t xml:space="preserve">项目编号: </w:t>
      </w:r>
      <w:r>
        <w:rPr>
          <w:rFonts w:hint="eastAsia" w:ascii="仿宋_GB2312" w:hAnsi="宋体" w:eastAsia="仿宋_GB2312"/>
          <w:b/>
          <w:sz w:val="32"/>
          <w:szCs w:val="32"/>
          <w:u w:val="single"/>
        </w:rPr>
        <w:t xml:space="preserve">      </w:t>
      </w:r>
      <w:r>
        <w:rPr>
          <w:rFonts w:hint="eastAsia" w:ascii="仿宋_GB2312" w:hAnsi="宋体" w:eastAsia="仿宋_GB2312"/>
          <w:sz w:val="32"/>
          <w:szCs w:val="32"/>
          <w:u w:val="single"/>
        </w:rPr>
        <w:t xml:space="preserve"> </w:t>
      </w:r>
      <w:r>
        <w:rPr>
          <w:rFonts w:hint="eastAsia" w:ascii="仿宋_GB2312" w:hAnsi="华文中宋" w:eastAsia="仿宋_GB2312"/>
          <w:b/>
          <w:sz w:val="32"/>
          <w:szCs w:val="32"/>
          <w:u w:val="single"/>
        </w:rPr>
        <w:t xml:space="preserve">     </w:t>
      </w:r>
      <w:r>
        <w:rPr>
          <w:rFonts w:eastAsia="仿宋_GB2312"/>
          <w:sz w:val="32"/>
          <w:szCs w:val="32"/>
          <w:u w:val="single"/>
        </w:rPr>
        <w:t>1243-456OTC2402003</w:t>
      </w:r>
      <w:r>
        <w:rPr>
          <w:rFonts w:hint="eastAsia" w:ascii="仿宋_GB2312" w:hAnsi="华文中宋" w:eastAsia="仿宋_GB2312"/>
          <w:b/>
          <w:sz w:val="32"/>
          <w:szCs w:val="32"/>
          <w:u w:val="single"/>
        </w:rPr>
        <w:t xml:space="preserve"> </w:t>
      </w:r>
      <w:r>
        <w:rPr>
          <w:rFonts w:hint="eastAsia" w:ascii="仿宋_GB2312" w:hAnsi="宋体" w:eastAsia="仿宋_GB2312"/>
          <w:b/>
          <w:sz w:val="32"/>
          <w:szCs w:val="32"/>
          <w:u w:val="single"/>
        </w:rPr>
        <w:t xml:space="preserve">             </w:t>
      </w:r>
    </w:p>
    <w:p>
      <w:pPr>
        <w:adjustRightInd w:val="0"/>
        <w:snapToGrid w:val="0"/>
        <w:spacing w:line="360" w:lineRule="auto"/>
        <w:ind w:left="1606" w:right="-200" w:hanging="1606" w:hangingChars="500"/>
        <w:rPr>
          <w:rFonts w:hint="eastAsia" w:ascii="仿宋_GB2312" w:hAnsi="华文中宋" w:eastAsia="仿宋_GB2312"/>
          <w:b/>
          <w:sz w:val="32"/>
          <w:szCs w:val="32"/>
          <w:u w:val="single"/>
        </w:rPr>
      </w:pPr>
      <w:r>
        <w:rPr>
          <w:rFonts w:hint="eastAsia" w:ascii="仿宋_GB2312" w:hAnsi="宋体" w:eastAsia="仿宋_GB2312"/>
          <w:b/>
          <w:sz w:val="32"/>
          <w:szCs w:val="32"/>
        </w:rPr>
        <w:t>项目名称：</w:t>
      </w:r>
      <w:r>
        <w:rPr>
          <w:rFonts w:hint="eastAsia" w:ascii="仿宋_GB2312" w:hAnsi="宋体" w:eastAsia="仿宋_GB2312"/>
          <w:b/>
          <w:sz w:val="32"/>
          <w:szCs w:val="32"/>
          <w:u w:val="single"/>
        </w:rPr>
        <w:t xml:space="preserve">       </w:t>
      </w:r>
      <w:r>
        <w:rPr>
          <w:rFonts w:hint="eastAsia" w:ascii="仿宋_GB2312" w:hAnsi="华文中宋" w:eastAsia="仿宋_GB2312"/>
          <w:b/>
          <w:sz w:val="32"/>
          <w:szCs w:val="32"/>
          <w:u w:val="single"/>
        </w:rPr>
        <w:t xml:space="preserve">国家税务总局深圳市罗湖区税务局       </w:t>
      </w:r>
    </w:p>
    <w:p>
      <w:pPr>
        <w:adjustRightInd w:val="0"/>
        <w:snapToGrid w:val="0"/>
        <w:spacing w:line="360" w:lineRule="auto"/>
        <w:ind w:left="1606" w:right="-200" w:hanging="1606" w:hangingChars="500"/>
        <w:rPr>
          <w:rFonts w:ascii="仿宋_GB2312" w:hAnsi="宋体" w:eastAsia="仿宋_GB2312"/>
          <w:b/>
          <w:color w:val="FF0000"/>
          <w:sz w:val="32"/>
          <w:szCs w:val="32"/>
          <w:u w:val="single"/>
        </w:rPr>
      </w:pPr>
      <w:r>
        <w:rPr>
          <w:rFonts w:ascii="仿宋_GB2312" w:hAnsi="华文中宋" w:eastAsia="仿宋_GB2312"/>
          <w:b/>
          <w:sz w:val="32"/>
          <w:szCs w:val="32"/>
        </w:rPr>
        <w:tab/>
      </w:r>
      <w:r>
        <w:rPr>
          <w:rFonts w:hint="eastAsia" w:ascii="仿宋_GB2312" w:hAnsi="华文中宋" w:eastAsia="仿宋_GB2312"/>
          <w:b/>
          <w:sz w:val="32"/>
          <w:szCs w:val="32"/>
          <w:u w:val="single"/>
        </w:rPr>
        <w:t xml:space="preserve">     </w:t>
      </w:r>
      <w:r>
        <w:rPr>
          <w:rFonts w:ascii="仿宋_GB2312" w:hAnsi="华文中宋" w:eastAsia="仿宋_GB2312"/>
          <w:b/>
          <w:sz w:val="32"/>
          <w:szCs w:val="32"/>
          <w:u w:val="single"/>
        </w:rPr>
        <w:t>2024</w:t>
      </w:r>
      <w:r>
        <w:rPr>
          <w:rFonts w:hint="eastAsia" w:ascii="仿宋_GB2312" w:hAnsi="华文中宋" w:eastAsia="仿宋_GB2312"/>
          <w:b/>
          <w:sz w:val="32"/>
          <w:szCs w:val="32"/>
          <w:u w:val="single"/>
        </w:rPr>
        <w:t xml:space="preserve">年自助办税终端驻点运维服务项目     </w:t>
      </w:r>
      <w:r>
        <w:rPr>
          <w:rFonts w:hint="eastAsia" w:ascii="仿宋_GB2312" w:hAnsi="华文中宋" w:eastAsia="仿宋_GB2312"/>
          <w:b/>
          <w:color w:val="FF0000"/>
          <w:sz w:val="32"/>
          <w:szCs w:val="32"/>
          <w:u w:val="single"/>
        </w:rPr>
        <w:t xml:space="preserve">   </w:t>
      </w:r>
    </w:p>
    <w:p>
      <w:pPr>
        <w:adjustRightInd w:val="0"/>
        <w:snapToGrid w:val="0"/>
        <w:spacing w:line="360" w:lineRule="auto"/>
        <w:ind w:right="-200"/>
        <w:rPr>
          <w:rFonts w:ascii="仿宋_GB2312" w:hAnsi="宋体" w:eastAsia="仿宋_GB2312"/>
          <w:b/>
          <w:sz w:val="32"/>
          <w:szCs w:val="32"/>
        </w:rPr>
      </w:pPr>
      <w:r>
        <w:rPr>
          <w:rFonts w:hint="eastAsia" w:ascii="仿宋_GB2312" w:hAnsi="宋体" w:eastAsia="仿宋_GB2312"/>
          <w:b/>
          <w:sz w:val="32"/>
          <w:szCs w:val="32"/>
        </w:rPr>
        <w:t>采购方式：</w:t>
      </w:r>
      <w:r>
        <w:rPr>
          <w:rFonts w:hint="eastAsia" w:ascii="仿宋_GB2312" w:hAnsi="宋体" w:eastAsia="仿宋_GB2312"/>
          <w:b/>
          <w:sz w:val="32"/>
          <w:szCs w:val="32"/>
          <w:u w:val="single"/>
        </w:rPr>
        <w:t xml:space="preserve">            </w:t>
      </w:r>
      <w:r>
        <w:rPr>
          <w:rFonts w:ascii="仿宋_GB2312" w:hAnsi="宋体" w:eastAsia="仿宋_GB2312"/>
          <w:b/>
          <w:sz w:val="32"/>
          <w:szCs w:val="32"/>
          <w:u w:val="single"/>
        </w:rPr>
        <w:t xml:space="preserve"> </w:t>
      </w:r>
      <w:r>
        <w:rPr>
          <w:rFonts w:hint="eastAsia" w:ascii="仿宋_GB2312" w:hAnsi="宋体" w:eastAsia="仿宋_GB2312"/>
          <w:b/>
          <w:sz w:val="32"/>
          <w:szCs w:val="32"/>
          <w:u w:val="single"/>
        </w:rPr>
        <w:t xml:space="preserve"> </w:t>
      </w:r>
      <w:r>
        <w:rPr>
          <w:rFonts w:ascii="仿宋_GB2312" w:hAnsi="宋体" w:eastAsia="仿宋_GB2312"/>
          <w:b/>
          <w:sz w:val="32"/>
          <w:szCs w:val="32"/>
          <w:u w:val="single"/>
        </w:rPr>
        <w:t xml:space="preserve"> </w:t>
      </w:r>
      <w:r>
        <w:rPr>
          <w:rFonts w:hint="eastAsia" w:ascii="仿宋_GB2312" w:hAnsi="宋体" w:eastAsia="仿宋_GB2312"/>
          <w:b/>
          <w:sz w:val="32"/>
          <w:szCs w:val="32"/>
          <w:u w:val="single"/>
        </w:rPr>
        <w:t xml:space="preserve"> </w:t>
      </w:r>
      <w:r>
        <w:rPr>
          <w:rFonts w:hint="eastAsia" w:ascii="仿宋_GB2312" w:hAnsi="华文中宋" w:eastAsia="仿宋_GB2312"/>
          <w:b/>
          <w:sz w:val="32"/>
          <w:szCs w:val="32"/>
          <w:u w:val="single"/>
        </w:rPr>
        <w:t>竞争性磋商</w:t>
      </w:r>
      <w:r>
        <w:rPr>
          <w:rFonts w:hint="eastAsia" w:ascii="仿宋_GB2312" w:hAnsi="宋体" w:eastAsia="仿宋_GB2312"/>
          <w:b/>
          <w:sz w:val="32"/>
          <w:szCs w:val="32"/>
          <w:u w:val="single"/>
        </w:rPr>
        <w:t xml:space="preserve"> </w:t>
      </w:r>
      <w:r>
        <w:rPr>
          <w:rFonts w:ascii="仿宋_GB2312" w:hAnsi="宋体" w:eastAsia="仿宋_GB2312"/>
          <w:b/>
          <w:sz w:val="32"/>
          <w:szCs w:val="32"/>
          <w:u w:val="single"/>
        </w:rPr>
        <w:t xml:space="preserve"> </w:t>
      </w:r>
      <w:r>
        <w:rPr>
          <w:rFonts w:hint="eastAsia" w:ascii="仿宋_GB2312" w:hAnsi="宋体" w:eastAsia="仿宋_GB2312"/>
          <w:b/>
          <w:sz w:val="32"/>
          <w:szCs w:val="32"/>
          <w:u w:val="single"/>
        </w:rPr>
        <w:t xml:space="preserve">    </w:t>
      </w:r>
      <w:r>
        <w:rPr>
          <w:rFonts w:ascii="仿宋_GB2312" w:hAnsi="宋体" w:eastAsia="仿宋_GB2312"/>
          <w:b/>
          <w:sz w:val="32"/>
          <w:szCs w:val="32"/>
          <w:u w:val="single"/>
        </w:rPr>
        <w:t xml:space="preserve">  </w:t>
      </w:r>
      <w:r>
        <w:rPr>
          <w:rFonts w:hint="eastAsia" w:ascii="仿宋_GB2312" w:hAnsi="宋体" w:eastAsia="仿宋_GB2312"/>
          <w:b/>
          <w:sz w:val="32"/>
          <w:szCs w:val="32"/>
          <w:u w:val="single"/>
        </w:rPr>
        <w:t xml:space="preserve">           </w:t>
      </w:r>
    </w:p>
    <w:p>
      <w:pPr>
        <w:adjustRightInd w:val="0"/>
        <w:snapToGrid w:val="0"/>
        <w:spacing w:line="360" w:lineRule="auto"/>
        <w:ind w:right="-200"/>
        <w:rPr>
          <w:rFonts w:ascii="仿宋_GB2312" w:hAnsi="宋体" w:eastAsia="仿宋_GB2312"/>
          <w:b/>
          <w:sz w:val="32"/>
          <w:szCs w:val="32"/>
        </w:rPr>
      </w:pPr>
      <w:r>
        <w:rPr>
          <w:rFonts w:hint="eastAsia" w:ascii="仿宋_GB2312" w:hAnsi="宋体" w:eastAsia="仿宋_GB2312"/>
          <w:b/>
          <w:sz w:val="32"/>
          <w:szCs w:val="32"/>
        </w:rPr>
        <w:t>采 购 人：</w:t>
      </w:r>
      <w:r>
        <w:rPr>
          <w:rFonts w:hint="eastAsia" w:ascii="仿宋_GB2312" w:hAnsi="宋体" w:eastAsia="仿宋_GB2312"/>
          <w:b/>
          <w:sz w:val="32"/>
          <w:szCs w:val="32"/>
          <w:u w:val="single"/>
        </w:rPr>
        <w:t xml:space="preserve">      </w:t>
      </w:r>
      <w:r>
        <w:rPr>
          <w:rFonts w:hint="eastAsia" w:ascii="仿宋_GB2312" w:hAnsi="华文中宋" w:eastAsia="仿宋_GB2312"/>
          <w:b/>
          <w:sz w:val="32"/>
          <w:szCs w:val="32"/>
          <w:u w:val="single"/>
        </w:rPr>
        <w:t>国家税务总局深圳市罗湖区税务局</w:t>
      </w:r>
      <w:r>
        <w:rPr>
          <w:rFonts w:hint="eastAsia" w:ascii="仿宋_GB2312" w:hAnsi="宋体" w:eastAsia="仿宋_GB2312"/>
          <w:b/>
          <w:sz w:val="32"/>
          <w:szCs w:val="32"/>
          <w:u w:val="single"/>
        </w:rPr>
        <w:t xml:space="preserve">         </w:t>
      </w:r>
    </w:p>
    <w:p>
      <w:pPr>
        <w:adjustRightInd w:val="0"/>
        <w:snapToGrid w:val="0"/>
        <w:spacing w:line="360" w:lineRule="auto"/>
        <w:ind w:right="-200"/>
        <w:rPr>
          <w:rFonts w:ascii="仿宋_GB2312" w:hAnsi="宋体" w:eastAsia="仿宋_GB2312"/>
          <w:b/>
          <w:color w:val="FF0000"/>
          <w:sz w:val="32"/>
          <w:szCs w:val="32"/>
          <w:u w:val="single"/>
        </w:rPr>
      </w:pPr>
      <w:r>
        <w:rPr>
          <w:rFonts w:hint="eastAsia" w:ascii="仿宋_GB2312" w:hAnsi="宋体" w:eastAsia="仿宋_GB2312"/>
          <w:b/>
          <w:sz w:val="32"/>
          <w:szCs w:val="32"/>
        </w:rPr>
        <w:t>代理机构：</w:t>
      </w:r>
      <w:r>
        <w:rPr>
          <w:rFonts w:hint="eastAsia" w:ascii="仿宋_GB2312" w:hAnsi="宋体" w:eastAsia="仿宋_GB2312"/>
          <w:b/>
          <w:sz w:val="32"/>
          <w:szCs w:val="32"/>
          <w:u w:val="single"/>
        </w:rPr>
        <w:t xml:space="preserve">          深圳市东方招标有限公司            </w:t>
      </w:r>
      <w:r>
        <w:rPr>
          <w:rFonts w:hint="eastAsia" w:ascii="仿宋_GB2312" w:hAnsi="宋体" w:eastAsia="仿宋_GB2312"/>
          <w:b/>
          <w:color w:val="FF0000"/>
          <w:sz w:val="32"/>
          <w:szCs w:val="32"/>
          <w:u w:val="single"/>
        </w:rPr>
        <w:t xml:space="preserve"> </w:t>
      </w:r>
    </w:p>
    <w:p>
      <w:pPr>
        <w:spacing w:line="312" w:lineRule="auto"/>
        <w:jc w:val="center"/>
        <w:rPr>
          <w:rFonts w:ascii="仿宋_GB2312" w:hAnsi="宋体" w:eastAsia="仿宋_GB2312"/>
          <w:b/>
          <w:color w:val="FF0000"/>
          <w:sz w:val="32"/>
          <w:szCs w:val="32"/>
        </w:rPr>
      </w:pPr>
    </w:p>
    <w:p>
      <w:pPr>
        <w:spacing w:line="312" w:lineRule="auto"/>
        <w:jc w:val="center"/>
        <w:rPr>
          <w:rFonts w:ascii="仿宋_GB2312" w:hAnsi="宋体" w:eastAsia="仿宋_GB2312"/>
          <w:b/>
          <w:color w:val="FF0000"/>
          <w:sz w:val="32"/>
          <w:szCs w:val="32"/>
        </w:rPr>
      </w:pPr>
    </w:p>
    <w:p>
      <w:pPr>
        <w:spacing w:line="312" w:lineRule="auto"/>
        <w:jc w:val="center"/>
        <w:rPr>
          <w:rFonts w:ascii="仿宋_GB2312" w:hAnsi="宋体" w:eastAsia="仿宋_GB2312"/>
          <w:b/>
          <w:sz w:val="32"/>
          <w:szCs w:val="32"/>
        </w:rPr>
      </w:pPr>
      <w:r>
        <w:rPr>
          <w:rFonts w:hint="eastAsia" w:ascii="仿宋_GB2312" w:hAnsi="宋体" w:eastAsia="仿宋_GB2312"/>
          <w:b/>
          <w:sz w:val="32"/>
          <w:szCs w:val="32"/>
        </w:rPr>
        <w:t>深圳市东方招标有限公司</w:t>
      </w:r>
    </w:p>
    <w:p>
      <w:pPr>
        <w:spacing w:line="312" w:lineRule="auto"/>
        <w:jc w:val="center"/>
        <w:rPr>
          <w:rFonts w:eastAsia="华文新魏"/>
          <w:sz w:val="30"/>
          <w:szCs w:val="30"/>
        </w:rPr>
      </w:pPr>
      <w:r>
        <w:rPr>
          <w:rFonts w:eastAsia="仿宋_GB2312"/>
          <w:sz w:val="32"/>
          <w:szCs w:val="32"/>
        </w:rPr>
        <w:t>2024年3月1</w:t>
      </w:r>
      <w:r>
        <w:rPr>
          <w:rFonts w:hint="eastAsia" w:eastAsia="仿宋_GB2312"/>
          <w:sz w:val="32"/>
          <w:szCs w:val="32"/>
        </w:rPr>
        <w:t>8</w:t>
      </w:r>
      <w:r>
        <w:rPr>
          <w:rFonts w:eastAsia="仿宋_GB2312"/>
          <w:sz w:val="32"/>
          <w:szCs w:val="32"/>
        </w:rPr>
        <w:t>日</w:t>
      </w:r>
    </w:p>
    <w:p>
      <w:pPr>
        <w:spacing w:line="312" w:lineRule="auto"/>
        <w:ind w:firstLine="3654" w:firstLineChars="700"/>
        <w:rPr>
          <w:rFonts w:hint="eastAsia" w:ascii="宋体" w:hAnsi="宋体"/>
          <w:b/>
          <w:sz w:val="44"/>
          <w:szCs w:val="44"/>
        </w:rPr>
      </w:pPr>
      <w:r>
        <w:rPr>
          <w:rFonts w:ascii="华文新魏" w:hAnsi="宋体" w:eastAsia="华文新魏"/>
          <w:b/>
          <w:color w:val="FF0000"/>
          <w:sz w:val="52"/>
          <w:szCs w:val="32"/>
        </w:rPr>
        <w:br w:type="page"/>
      </w:r>
      <w:r>
        <w:rPr>
          <w:rFonts w:hint="eastAsia" w:ascii="宋体" w:hAnsi="宋体"/>
          <w:b/>
          <w:sz w:val="44"/>
          <w:szCs w:val="44"/>
        </w:rPr>
        <w:t>目  录</w:t>
      </w:r>
    </w:p>
    <w:p>
      <w:pPr>
        <w:pStyle w:val="18"/>
        <w:tabs>
          <w:tab w:val="right" w:leader="dot" w:pos="8494"/>
        </w:tabs>
        <w:rPr>
          <w:rFonts w:ascii="宋体" w:hAnsi="宋体"/>
          <w:sz w:val="24"/>
          <w:lang/>
        </w:rPr>
      </w:pPr>
      <w:r>
        <w:rPr>
          <w:rFonts w:eastAsia="仿宋_GB2312"/>
          <w:color w:val="FF0000"/>
        </w:rPr>
        <w:fldChar w:fldCharType="begin"/>
      </w:r>
      <w:r>
        <w:rPr>
          <w:rFonts w:eastAsia="仿宋_GB2312"/>
          <w:color w:val="FF0000"/>
        </w:rPr>
        <w:instrText xml:space="preserve"> TOC \o "1-3" \h \z \u </w:instrText>
      </w:r>
      <w:r>
        <w:rPr>
          <w:rFonts w:eastAsia="仿宋_GB2312"/>
          <w:color w:val="FF0000"/>
        </w:rPr>
        <w:fldChar w:fldCharType="separate"/>
      </w: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"_Toc161306865"</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第一章 磋商邀请</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_Toc161306865 \h </w:instrText>
      </w:r>
      <w:r>
        <w:rPr>
          <w:rFonts w:ascii="宋体" w:hAnsi="宋体"/>
          <w:sz w:val="24"/>
          <w:lang/>
        </w:rPr>
        <w:fldChar w:fldCharType="separate"/>
      </w:r>
      <w:r>
        <w:rPr>
          <w:rFonts w:ascii="宋体" w:hAnsi="宋体"/>
          <w:sz w:val="24"/>
          <w:lang/>
        </w:rPr>
        <w:t>3</w:t>
      </w:r>
      <w:r>
        <w:rPr>
          <w:rFonts w:ascii="宋体" w:hAnsi="宋体"/>
          <w:sz w:val="24"/>
          <w:lang/>
        </w:rPr>
        <w:fldChar w:fldCharType="end"/>
      </w:r>
      <w:r>
        <w:rPr>
          <w:rStyle w:val="33"/>
          <w:rFonts w:ascii="宋体" w:hAnsi="宋体" w:eastAsia="宋体"/>
          <w:lang/>
        </w:rPr>
        <w:fldChar w:fldCharType="end"/>
      </w:r>
    </w:p>
    <w:p>
      <w:pPr>
        <w:pStyle w:val="18"/>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"_Toc161306866"</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第二章 项目要求</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_Toc161306866 \h </w:instrText>
      </w:r>
      <w:r>
        <w:rPr>
          <w:rFonts w:ascii="宋体" w:hAnsi="宋体"/>
          <w:sz w:val="24"/>
          <w:lang/>
        </w:rPr>
        <w:fldChar w:fldCharType="separate"/>
      </w:r>
      <w:r>
        <w:rPr>
          <w:rFonts w:ascii="宋体" w:hAnsi="宋体"/>
          <w:sz w:val="24"/>
          <w:lang/>
        </w:rPr>
        <w:t>5</w:t>
      </w:r>
      <w:r>
        <w:rPr>
          <w:rFonts w:ascii="宋体" w:hAnsi="宋体"/>
          <w:sz w:val="24"/>
          <w:lang/>
        </w:rPr>
        <w:fldChar w:fldCharType="end"/>
      </w:r>
      <w:r>
        <w:rPr>
          <w:rStyle w:val="33"/>
          <w:rFonts w:ascii="宋体" w:hAnsi="宋体" w:eastAsia="宋体"/>
          <w:lang/>
        </w:rPr>
        <w:fldChar w:fldCharType="end"/>
      </w:r>
    </w:p>
    <w:p>
      <w:pPr>
        <w:pStyle w:val="20"/>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"_Toc161306867"</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一、项目概述</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_Toc161306867 \h </w:instrText>
      </w:r>
      <w:r>
        <w:rPr>
          <w:rFonts w:ascii="宋体" w:hAnsi="宋体"/>
          <w:sz w:val="24"/>
          <w:lang/>
        </w:rPr>
        <w:fldChar w:fldCharType="separate"/>
      </w:r>
      <w:r>
        <w:rPr>
          <w:rFonts w:ascii="宋体" w:hAnsi="宋体"/>
          <w:sz w:val="24"/>
          <w:lang/>
        </w:rPr>
        <w:t>6</w:t>
      </w:r>
      <w:r>
        <w:rPr>
          <w:rFonts w:ascii="宋体" w:hAnsi="宋体"/>
          <w:sz w:val="24"/>
          <w:lang/>
        </w:rPr>
        <w:fldChar w:fldCharType="end"/>
      </w:r>
      <w:r>
        <w:rPr>
          <w:rStyle w:val="33"/>
          <w:rFonts w:ascii="宋体" w:hAnsi="宋体" w:eastAsia="宋体"/>
          <w:lang/>
        </w:rPr>
        <w:fldChar w:fldCharType="end"/>
      </w:r>
    </w:p>
    <w:p>
      <w:pPr>
        <w:pStyle w:val="20"/>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"_Toc161306868"</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二、★供应商（投标人）资格要求</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_Toc161306868 \h </w:instrText>
      </w:r>
      <w:r>
        <w:rPr>
          <w:rFonts w:ascii="宋体" w:hAnsi="宋体"/>
          <w:sz w:val="24"/>
          <w:lang/>
        </w:rPr>
        <w:fldChar w:fldCharType="separate"/>
      </w:r>
      <w:r>
        <w:rPr>
          <w:rFonts w:ascii="宋体" w:hAnsi="宋体"/>
          <w:sz w:val="24"/>
          <w:lang/>
        </w:rPr>
        <w:t>6</w:t>
      </w:r>
      <w:r>
        <w:rPr>
          <w:rFonts w:ascii="宋体" w:hAnsi="宋体"/>
          <w:sz w:val="24"/>
          <w:lang/>
        </w:rPr>
        <w:fldChar w:fldCharType="end"/>
      </w:r>
      <w:r>
        <w:rPr>
          <w:rStyle w:val="33"/>
          <w:rFonts w:ascii="宋体" w:hAnsi="宋体" w:eastAsia="宋体"/>
          <w:lang/>
        </w:rPr>
        <w:fldChar w:fldCharType="end"/>
      </w:r>
    </w:p>
    <w:p>
      <w:pPr>
        <w:pStyle w:val="20"/>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"_Toc161306869"</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三、投标报价</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_Toc161306869 \h </w:instrText>
      </w:r>
      <w:r>
        <w:rPr>
          <w:rFonts w:ascii="宋体" w:hAnsi="宋体"/>
          <w:sz w:val="24"/>
          <w:lang/>
        </w:rPr>
        <w:fldChar w:fldCharType="separate"/>
      </w:r>
      <w:r>
        <w:rPr>
          <w:rFonts w:ascii="宋体" w:hAnsi="宋体"/>
          <w:sz w:val="24"/>
          <w:lang/>
        </w:rPr>
        <w:t>7</w:t>
      </w:r>
      <w:r>
        <w:rPr>
          <w:rFonts w:ascii="宋体" w:hAnsi="宋体"/>
          <w:sz w:val="24"/>
          <w:lang/>
        </w:rPr>
        <w:fldChar w:fldCharType="end"/>
      </w:r>
      <w:r>
        <w:rPr>
          <w:rStyle w:val="33"/>
          <w:rFonts w:ascii="宋体" w:hAnsi="宋体" w:eastAsia="宋体"/>
          <w:lang/>
        </w:rPr>
        <w:fldChar w:fldCharType="end"/>
      </w:r>
    </w:p>
    <w:p>
      <w:pPr>
        <w:pStyle w:val="20"/>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"_Toc161306870"</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四、商务要求</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_Toc161306870 \h </w:instrText>
      </w:r>
      <w:r>
        <w:rPr>
          <w:rFonts w:ascii="宋体" w:hAnsi="宋体"/>
          <w:sz w:val="24"/>
          <w:lang/>
        </w:rPr>
        <w:fldChar w:fldCharType="separate"/>
      </w:r>
      <w:r>
        <w:rPr>
          <w:rFonts w:ascii="宋体" w:hAnsi="宋体"/>
          <w:sz w:val="24"/>
          <w:lang/>
        </w:rPr>
        <w:t>8</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"_Toc161306871"</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（一）服务期限（完成期限）、地点要求:</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_Toc161306871 \h </w:instrText>
      </w:r>
      <w:r>
        <w:rPr>
          <w:rFonts w:ascii="宋体" w:hAnsi="宋体"/>
          <w:sz w:val="24"/>
          <w:lang/>
        </w:rPr>
        <w:fldChar w:fldCharType="separate"/>
      </w:r>
      <w:r>
        <w:rPr>
          <w:rFonts w:ascii="宋体" w:hAnsi="宋体"/>
          <w:sz w:val="24"/>
          <w:lang/>
        </w:rPr>
        <w:t>8</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"_Toc161306872"</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（二）★付款方式和条件：</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_Toc161306872 \h </w:instrText>
      </w:r>
      <w:r>
        <w:rPr>
          <w:rFonts w:ascii="宋体" w:hAnsi="宋体"/>
          <w:sz w:val="24"/>
          <w:lang/>
        </w:rPr>
        <w:fldChar w:fldCharType="separate"/>
      </w:r>
      <w:r>
        <w:rPr>
          <w:rFonts w:ascii="宋体" w:hAnsi="宋体"/>
          <w:sz w:val="24"/>
          <w:lang/>
        </w:rPr>
        <w:t>8</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"_Toc161306873"</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（三）验收要求</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_Toc161306873 \h </w:instrText>
      </w:r>
      <w:r>
        <w:rPr>
          <w:rFonts w:ascii="宋体" w:hAnsi="宋体"/>
          <w:sz w:val="24"/>
          <w:lang/>
        </w:rPr>
        <w:fldChar w:fldCharType="separate"/>
      </w:r>
      <w:r>
        <w:rPr>
          <w:rFonts w:ascii="宋体" w:hAnsi="宋体"/>
          <w:sz w:val="24"/>
          <w:lang/>
        </w:rPr>
        <w:t>8</w:t>
      </w:r>
      <w:r>
        <w:rPr>
          <w:rFonts w:ascii="宋体" w:hAnsi="宋体"/>
          <w:sz w:val="24"/>
          <w:lang/>
        </w:rPr>
        <w:fldChar w:fldCharType="end"/>
      </w:r>
      <w:r>
        <w:rPr>
          <w:rStyle w:val="33"/>
          <w:rFonts w:ascii="宋体" w:hAnsi="宋体" w:eastAsia="宋体"/>
          <w:lang/>
        </w:rPr>
        <w:fldChar w:fldCharType="end"/>
      </w:r>
    </w:p>
    <w:p>
      <w:pPr>
        <w:pStyle w:val="20"/>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"_Toc161306874"</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五、技术(服务)要求</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_Toc161306874 \h </w:instrText>
      </w:r>
      <w:r>
        <w:rPr>
          <w:rFonts w:ascii="宋体" w:hAnsi="宋体"/>
          <w:sz w:val="24"/>
          <w:lang/>
        </w:rPr>
        <w:fldChar w:fldCharType="separate"/>
      </w:r>
      <w:r>
        <w:rPr>
          <w:rFonts w:ascii="宋体" w:hAnsi="宋体"/>
          <w:sz w:val="24"/>
          <w:lang/>
        </w:rPr>
        <w:t>9</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"_Toc161306875"</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（一）服务人员</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_Toc161306875 \h </w:instrText>
      </w:r>
      <w:r>
        <w:rPr>
          <w:rFonts w:ascii="宋体" w:hAnsi="宋体"/>
          <w:sz w:val="24"/>
          <w:lang/>
        </w:rPr>
        <w:fldChar w:fldCharType="separate"/>
      </w:r>
      <w:r>
        <w:rPr>
          <w:rFonts w:ascii="宋体" w:hAnsi="宋体"/>
          <w:sz w:val="24"/>
          <w:lang/>
        </w:rPr>
        <w:t>9</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"_Toc161306876"</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（二）日常服务时间</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_Toc161306876 \h </w:instrText>
      </w:r>
      <w:r>
        <w:rPr>
          <w:rFonts w:ascii="宋体" w:hAnsi="宋体"/>
          <w:sz w:val="24"/>
          <w:lang/>
        </w:rPr>
        <w:fldChar w:fldCharType="separate"/>
      </w:r>
      <w:r>
        <w:rPr>
          <w:rFonts w:ascii="宋体" w:hAnsi="宋体"/>
          <w:sz w:val="24"/>
          <w:lang/>
        </w:rPr>
        <w:t>9</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"_Toc161306877"</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（三）服务内容</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_Toc161306877 \h </w:instrText>
      </w:r>
      <w:r>
        <w:rPr>
          <w:rFonts w:ascii="宋体" w:hAnsi="宋体"/>
          <w:sz w:val="24"/>
          <w:lang/>
        </w:rPr>
        <w:fldChar w:fldCharType="separate"/>
      </w:r>
      <w:r>
        <w:rPr>
          <w:rFonts w:ascii="宋体" w:hAnsi="宋体"/>
          <w:sz w:val="24"/>
          <w:lang/>
        </w:rPr>
        <w:t>9</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"_Toc161306878"</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（四）运维人员管理</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_Toc161306878 \h </w:instrText>
      </w:r>
      <w:r>
        <w:rPr>
          <w:rFonts w:ascii="宋体" w:hAnsi="宋体"/>
          <w:sz w:val="24"/>
          <w:lang/>
        </w:rPr>
        <w:fldChar w:fldCharType="separate"/>
      </w:r>
      <w:r>
        <w:rPr>
          <w:rFonts w:ascii="宋体" w:hAnsi="宋体"/>
          <w:sz w:val="24"/>
          <w:lang/>
        </w:rPr>
        <w:t>11</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"_Toc161306879"</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（五）保密条款</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_Toc161306879 \h </w:instrText>
      </w:r>
      <w:r>
        <w:rPr>
          <w:rFonts w:ascii="宋体" w:hAnsi="宋体"/>
          <w:sz w:val="24"/>
          <w:lang/>
        </w:rPr>
        <w:fldChar w:fldCharType="separate"/>
      </w:r>
      <w:r>
        <w:rPr>
          <w:rFonts w:ascii="宋体" w:hAnsi="宋体"/>
          <w:sz w:val="24"/>
          <w:lang/>
        </w:rPr>
        <w:t>11</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"_Toc161306880"</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（六）违约责任</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_Toc161306880 \h </w:instrText>
      </w:r>
      <w:r>
        <w:rPr>
          <w:rFonts w:ascii="宋体" w:hAnsi="宋体"/>
          <w:sz w:val="24"/>
          <w:lang/>
        </w:rPr>
        <w:fldChar w:fldCharType="separate"/>
      </w:r>
      <w:r>
        <w:rPr>
          <w:rFonts w:ascii="宋体" w:hAnsi="宋体"/>
          <w:sz w:val="24"/>
          <w:lang/>
        </w:rPr>
        <w:t>12</w:t>
      </w:r>
      <w:r>
        <w:rPr>
          <w:rFonts w:ascii="宋体" w:hAnsi="宋体"/>
          <w:sz w:val="24"/>
          <w:lang/>
        </w:rPr>
        <w:fldChar w:fldCharType="end"/>
      </w:r>
      <w:r>
        <w:rPr>
          <w:rStyle w:val="33"/>
          <w:rFonts w:ascii="宋体" w:hAnsi="宋体" w:eastAsia="宋体"/>
          <w:lang/>
        </w:rPr>
        <w:fldChar w:fldCharType="end"/>
      </w:r>
    </w:p>
    <w:p>
      <w:pPr>
        <w:pStyle w:val="18"/>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"_Toc161306881"</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第三章 评审办法</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_Toc161306881 \h </w:instrText>
      </w:r>
      <w:r>
        <w:rPr>
          <w:rFonts w:ascii="宋体" w:hAnsi="宋体"/>
          <w:sz w:val="24"/>
          <w:lang/>
        </w:rPr>
        <w:fldChar w:fldCharType="separate"/>
      </w:r>
      <w:r>
        <w:rPr>
          <w:rFonts w:ascii="宋体" w:hAnsi="宋体"/>
          <w:sz w:val="24"/>
          <w:lang/>
        </w:rPr>
        <w:t>13</w:t>
      </w:r>
      <w:r>
        <w:rPr>
          <w:rFonts w:ascii="宋体" w:hAnsi="宋体"/>
          <w:sz w:val="24"/>
          <w:lang/>
        </w:rPr>
        <w:fldChar w:fldCharType="end"/>
      </w:r>
      <w:r>
        <w:rPr>
          <w:rStyle w:val="33"/>
          <w:rFonts w:ascii="宋体" w:hAnsi="宋体" w:eastAsia="宋体"/>
          <w:lang/>
        </w:rPr>
        <w:fldChar w:fldCharType="end"/>
      </w:r>
    </w:p>
    <w:p>
      <w:pPr>
        <w:pStyle w:val="18"/>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"_Toc161306882"</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第四章 磋商应答文件格式</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_Toc161306882 \h </w:instrText>
      </w:r>
      <w:r>
        <w:rPr>
          <w:rFonts w:ascii="宋体" w:hAnsi="宋体"/>
          <w:sz w:val="24"/>
          <w:lang/>
        </w:rPr>
        <w:fldChar w:fldCharType="separate"/>
      </w:r>
      <w:r>
        <w:rPr>
          <w:rFonts w:ascii="宋体" w:hAnsi="宋体"/>
          <w:sz w:val="24"/>
          <w:lang/>
        </w:rPr>
        <w:t>18</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"_Toc161306883"</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1、综合评分指引表</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_Toc161306883 \h </w:instrText>
      </w:r>
      <w:r>
        <w:rPr>
          <w:rFonts w:ascii="宋体" w:hAnsi="宋体"/>
          <w:sz w:val="24"/>
          <w:lang/>
        </w:rPr>
        <w:fldChar w:fldCharType="separate"/>
      </w:r>
      <w:r>
        <w:rPr>
          <w:rFonts w:ascii="宋体" w:hAnsi="宋体"/>
          <w:sz w:val="24"/>
          <w:lang/>
        </w:rPr>
        <w:t>19</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"_Toc161306884"</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2、磋商应答函</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_Toc161306884 \h </w:instrText>
      </w:r>
      <w:r>
        <w:rPr>
          <w:rFonts w:ascii="宋体" w:hAnsi="宋体"/>
          <w:sz w:val="24"/>
          <w:lang/>
        </w:rPr>
        <w:fldChar w:fldCharType="separate"/>
      </w:r>
      <w:r>
        <w:rPr>
          <w:rFonts w:ascii="宋体" w:hAnsi="宋体"/>
          <w:sz w:val="24"/>
          <w:lang/>
        </w:rPr>
        <w:t>21</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"_Toc161306885"</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3、报价一览表（第一轮报价）</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_Toc161306885 \h </w:instrText>
      </w:r>
      <w:r>
        <w:rPr>
          <w:rFonts w:ascii="宋体" w:hAnsi="宋体"/>
          <w:sz w:val="24"/>
          <w:lang/>
        </w:rPr>
        <w:fldChar w:fldCharType="separate"/>
      </w:r>
      <w:r>
        <w:rPr>
          <w:rFonts w:ascii="宋体" w:hAnsi="宋体"/>
          <w:sz w:val="24"/>
          <w:lang/>
        </w:rPr>
        <w:t>22</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"_Toc161306886"</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b/>
          <w:lang/>
        </w:rPr>
        <w:t>4、分项报价表</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_Toc161306886 \h </w:instrText>
      </w:r>
      <w:r>
        <w:rPr>
          <w:rFonts w:ascii="宋体" w:hAnsi="宋体"/>
          <w:sz w:val="24"/>
          <w:lang/>
        </w:rPr>
        <w:fldChar w:fldCharType="separate"/>
      </w:r>
      <w:r>
        <w:rPr>
          <w:rFonts w:ascii="宋体" w:hAnsi="宋体"/>
          <w:sz w:val="24"/>
          <w:lang/>
        </w:rPr>
        <w:t>23</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"_Toc161306887"</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5、商务条款对照说明表</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_Toc161306887 \h </w:instrText>
      </w:r>
      <w:r>
        <w:rPr>
          <w:rFonts w:ascii="宋体" w:hAnsi="宋体"/>
          <w:sz w:val="24"/>
          <w:lang/>
        </w:rPr>
        <w:fldChar w:fldCharType="separate"/>
      </w:r>
      <w:r>
        <w:rPr>
          <w:rFonts w:ascii="宋体" w:hAnsi="宋体"/>
          <w:sz w:val="24"/>
          <w:lang/>
        </w:rPr>
        <w:t>24</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"_Toc161306888"</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6、技术条款对照说明表</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_Toc161306888 \h </w:instrText>
      </w:r>
      <w:r>
        <w:rPr>
          <w:rFonts w:ascii="宋体" w:hAnsi="宋体"/>
          <w:sz w:val="24"/>
          <w:lang/>
        </w:rPr>
        <w:fldChar w:fldCharType="separate"/>
      </w:r>
      <w:r>
        <w:rPr>
          <w:rFonts w:ascii="宋体" w:hAnsi="宋体"/>
          <w:sz w:val="24"/>
          <w:lang/>
        </w:rPr>
        <w:t>26</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"_Toc161306889"</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7、资格证明文件</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_Toc161306889 \h </w:instrText>
      </w:r>
      <w:r>
        <w:rPr>
          <w:rFonts w:ascii="宋体" w:hAnsi="宋体"/>
          <w:sz w:val="24"/>
          <w:lang/>
        </w:rPr>
        <w:fldChar w:fldCharType="separate"/>
      </w:r>
      <w:r>
        <w:rPr>
          <w:rFonts w:ascii="宋体" w:hAnsi="宋体"/>
          <w:sz w:val="24"/>
          <w:lang/>
        </w:rPr>
        <w:t>28</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"_Toc161306890"</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8、承诺函</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_Toc161306890 \h </w:instrText>
      </w:r>
      <w:r>
        <w:rPr>
          <w:rFonts w:ascii="宋体" w:hAnsi="宋体"/>
          <w:sz w:val="24"/>
          <w:lang/>
        </w:rPr>
        <w:fldChar w:fldCharType="separate"/>
      </w:r>
      <w:r>
        <w:rPr>
          <w:rFonts w:ascii="宋体" w:hAnsi="宋体"/>
          <w:sz w:val="24"/>
          <w:lang/>
        </w:rPr>
        <w:t>37</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"_Toc161306891"</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9、支付成交服务费承诺函</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_Toc161306891 \h </w:instrText>
      </w:r>
      <w:r>
        <w:rPr>
          <w:rFonts w:ascii="宋体" w:hAnsi="宋体"/>
          <w:sz w:val="24"/>
          <w:lang/>
        </w:rPr>
        <w:fldChar w:fldCharType="separate"/>
      </w:r>
      <w:r>
        <w:rPr>
          <w:rFonts w:ascii="宋体" w:hAnsi="宋体"/>
          <w:sz w:val="24"/>
          <w:lang/>
        </w:rPr>
        <w:t>38</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"_Toc161306892"</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10、评标优惠政策声明函</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_Toc161306892 \h </w:instrText>
      </w:r>
      <w:r>
        <w:rPr>
          <w:rFonts w:ascii="宋体" w:hAnsi="宋体"/>
          <w:sz w:val="24"/>
          <w:lang/>
        </w:rPr>
        <w:fldChar w:fldCharType="separate"/>
      </w:r>
      <w:r>
        <w:rPr>
          <w:rFonts w:ascii="宋体" w:hAnsi="宋体"/>
          <w:sz w:val="24"/>
          <w:lang/>
        </w:rPr>
        <w:t>39</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"_Toc161306893"</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11、按《竞争性磋商文件》的要求，提供的其他有关文件</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_Toc161306893 \h </w:instrText>
      </w:r>
      <w:r>
        <w:rPr>
          <w:rFonts w:ascii="宋体" w:hAnsi="宋体"/>
          <w:sz w:val="24"/>
          <w:lang/>
        </w:rPr>
        <w:fldChar w:fldCharType="separate"/>
      </w:r>
      <w:r>
        <w:rPr>
          <w:rFonts w:ascii="宋体" w:hAnsi="宋体"/>
          <w:sz w:val="24"/>
          <w:lang/>
        </w:rPr>
        <w:t>42</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"_Toc161306894"</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12、第二轮报价及承诺一览表</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_Toc161306894 \h </w:instrText>
      </w:r>
      <w:r>
        <w:rPr>
          <w:rFonts w:ascii="宋体" w:hAnsi="宋体"/>
          <w:sz w:val="24"/>
          <w:lang/>
        </w:rPr>
        <w:fldChar w:fldCharType="separate"/>
      </w:r>
      <w:r>
        <w:rPr>
          <w:rFonts w:ascii="宋体" w:hAnsi="宋体"/>
          <w:sz w:val="24"/>
          <w:lang/>
        </w:rPr>
        <w:t>43</w:t>
      </w:r>
      <w:r>
        <w:rPr>
          <w:rFonts w:ascii="宋体" w:hAnsi="宋体"/>
          <w:sz w:val="24"/>
          <w:lang/>
        </w:rPr>
        <w:fldChar w:fldCharType="end"/>
      </w:r>
      <w:r>
        <w:rPr>
          <w:rStyle w:val="33"/>
          <w:rFonts w:ascii="宋体" w:hAnsi="宋体" w:eastAsia="宋体"/>
          <w:lang/>
        </w:rPr>
        <w:fldChar w:fldCharType="end"/>
      </w:r>
    </w:p>
    <w:p>
      <w:pPr>
        <w:pStyle w:val="13"/>
        <w:rPr>
          <w:rFonts w:ascii="宋体" w:hAnsi="宋体"/>
          <w:color w:val="auto"/>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"_Toc161306895"</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13、最终报价及承诺一览表</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_Toc161306895 \h </w:instrText>
      </w:r>
      <w:r>
        <w:rPr>
          <w:rFonts w:ascii="宋体" w:hAnsi="宋体"/>
          <w:sz w:val="24"/>
          <w:lang/>
        </w:rPr>
        <w:fldChar w:fldCharType="separate"/>
      </w:r>
      <w:r>
        <w:rPr>
          <w:rFonts w:ascii="宋体" w:hAnsi="宋体"/>
          <w:sz w:val="24"/>
          <w:lang/>
        </w:rPr>
        <w:t>44</w:t>
      </w:r>
      <w:r>
        <w:rPr>
          <w:rFonts w:ascii="宋体" w:hAnsi="宋体"/>
          <w:sz w:val="24"/>
          <w:lang/>
        </w:rPr>
        <w:fldChar w:fldCharType="end"/>
      </w:r>
      <w:r>
        <w:rPr>
          <w:rStyle w:val="33"/>
          <w:rFonts w:ascii="宋体" w:hAnsi="宋体" w:eastAsia="宋体"/>
          <w:lang/>
        </w:rPr>
        <w:fldChar w:fldCharType="end"/>
      </w:r>
    </w:p>
    <w:p>
      <w:pPr>
        <w:pStyle w:val="18"/>
        <w:tabs>
          <w:tab w:val="right" w:leader="dot" w:pos="8494"/>
        </w:tabs>
        <w:rPr>
          <w:rFonts w:ascii="宋体" w:hAnsi="宋体"/>
          <w:sz w:val="24"/>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"_Toc161306896"</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第五章 供应商须知</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_Toc161306896 \h </w:instrText>
      </w:r>
      <w:r>
        <w:rPr>
          <w:rFonts w:ascii="宋体" w:hAnsi="宋体"/>
          <w:sz w:val="24"/>
          <w:lang/>
        </w:rPr>
        <w:fldChar w:fldCharType="separate"/>
      </w:r>
      <w:r>
        <w:rPr>
          <w:rFonts w:ascii="宋体" w:hAnsi="宋体"/>
          <w:sz w:val="24"/>
          <w:lang/>
        </w:rPr>
        <w:t>45</w:t>
      </w:r>
      <w:r>
        <w:rPr>
          <w:rFonts w:ascii="宋体" w:hAnsi="宋体"/>
          <w:sz w:val="24"/>
          <w:lang/>
        </w:rPr>
        <w:fldChar w:fldCharType="end"/>
      </w:r>
      <w:r>
        <w:rPr>
          <w:rStyle w:val="33"/>
          <w:rFonts w:ascii="宋体" w:hAnsi="宋体" w:eastAsia="宋体"/>
          <w:lang/>
        </w:rPr>
        <w:fldChar w:fldCharType="end"/>
      </w:r>
    </w:p>
    <w:p>
      <w:pPr>
        <w:pStyle w:val="18"/>
        <w:tabs>
          <w:tab w:val="right" w:leader="dot" w:pos="8494"/>
        </w:tabs>
        <w:rPr>
          <w:rFonts w:ascii="等线" w:hAnsi="等线" w:eastAsia="等线"/>
          <w:sz w:val="21"/>
          <w:szCs w:val="22"/>
          <w:lang/>
        </w:rPr>
      </w:pPr>
      <w:r>
        <w:rPr>
          <w:rStyle w:val="33"/>
          <w:rFonts w:ascii="宋体" w:hAnsi="宋体" w:eastAsia="宋体"/>
          <w:lang/>
        </w:rPr>
        <w:fldChar w:fldCharType="begin"/>
      </w:r>
      <w:r>
        <w:rPr>
          <w:rStyle w:val="33"/>
          <w:rFonts w:ascii="宋体" w:hAnsi="宋体" w:eastAsia="宋体"/>
          <w:lang/>
        </w:rPr>
        <w:instrText xml:space="preserve"> </w:instrText>
      </w:r>
      <w:r>
        <w:rPr>
          <w:rFonts w:ascii="宋体" w:hAnsi="宋体"/>
          <w:sz w:val="24"/>
          <w:lang/>
        </w:rPr>
        <w:instrText xml:space="preserve">HYPERLINK \l "_Toc161306897"</w:instrText>
      </w:r>
      <w:r>
        <w:rPr>
          <w:rStyle w:val="33"/>
          <w:rFonts w:ascii="宋体" w:hAnsi="宋体" w:eastAsia="宋体"/>
          <w:lang/>
        </w:rPr>
        <w:instrText xml:space="preserve"> </w:instrText>
      </w:r>
      <w:r>
        <w:rPr>
          <w:rStyle w:val="33"/>
          <w:rFonts w:ascii="宋体" w:hAnsi="宋体" w:eastAsia="宋体"/>
          <w:lang/>
        </w:rPr>
        <w:fldChar w:fldCharType="separate"/>
      </w:r>
      <w:r>
        <w:rPr>
          <w:rStyle w:val="33"/>
          <w:rFonts w:ascii="宋体" w:hAnsi="宋体" w:eastAsia="宋体"/>
          <w:lang/>
        </w:rPr>
        <w:t>第六章 参考合同及履约评价表</w:t>
      </w:r>
      <w:r>
        <w:rPr>
          <w:rFonts w:ascii="宋体" w:hAnsi="宋体"/>
          <w:sz w:val="24"/>
          <w:lang/>
        </w:rPr>
        <w:tab/>
      </w:r>
      <w:r>
        <w:rPr>
          <w:rFonts w:ascii="宋体" w:hAnsi="宋体"/>
          <w:sz w:val="24"/>
          <w:lang/>
        </w:rPr>
        <w:fldChar w:fldCharType="begin"/>
      </w:r>
      <w:r>
        <w:rPr>
          <w:rFonts w:ascii="宋体" w:hAnsi="宋体"/>
          <w:sz w:val="24"/>
          <w:lang/>
        </w:rPr>
        <w:instrText xml:space="preserve"> PAGEREF _Toc161306897 \h </w:instrText>
      </w:r>
      <w:r>
        <w:rPr>
          <w:rFonts w:ascii="宋体" w:hAnsi="宋体"/>
          <w:sz w:val="24"/>
          <w:lang/>
        </w:rPr>
        <w:fldChar w:fldCharType="separate"/>
      </w:r>
      <w:r>
        <w:rPr>
          <w:rFonts w:ascii="宋体" w:hAnsi="宋体"/>
          <w:sz w:val="24"/>
          <w:lang/>
        </w:rPr>
        <w:t>53</w:t>
      </w:r>
      <w:r>
        <w:rPr>
          <w:rFonts w:ascii="宋体" w:hAnsi="宋体"/>
          <w:sz w:val="24"/>
          <w:lang/>
        </w:rPr>
        <w:fldChar w:fldCharType="end"/>
      </w:r>
      <w:r>
        <w:rPr>
          <w:rStyle w:val="33"/>
          <w:rFonts w:ascii="宋体" w:hAnsi="宋体" w:eastAsia="宋体"/>
          <w:lang/>
        </w:rPr>
        <w:fldChar w:fldCharType="end"/>
      </w:r>
    </w:p>
    <w:p>
      <w:pPr>
        <w:rPr>
          <w:rFonts w:hint="eastAsia" w:ascii="华文新魏" w:hAnsi="宋体" w:eastAsia="华文新魏"/>
          <w:b/>
          <w:color w:val="FF0000"/>
          <w:szCs w:val="21"/>
        </w:rPr>
      </w:pPr>
      <w:r>
        <w:rPr>
          <w:rFonts w:eastAsia="仿宋_GB2312"/>
          <w:color w:val="FF0000"/>
        </w:rPr>
        <w:fldChar w:fldCharType="end"/>
      </w:r>
    </w:p>
    <w:p>
      <w:pPr>
        <w:pStyle w:val="2"/>
        <w:spacing w:after="0" w:line="576" w:lineRule="auto"/>
        <w:jc w:val="center"/>
        <w:rPr>
          <w:rFonts w:ascii="华文新魏" w:eastAsia="华文新魏"/>
          <w:sz w:val="72"/>
          <w:szCs w:val="72"/>
        </w:rPr>
      </w:pPr>
      <w:r>
        <w:rPr>
          <w:rFonts w:ascii="华文新魏" w:eastAsia="华文新魏"/>
          <w:color w:val="FF0000"/>
          <w:sz w:val="21"/>
          <w:szCs w:val="21"/>
        </w:rPr>
        <w:br w:type="page"/>
      </w:r>
      <w:bookmarkStart w:id="0" w:name="_Toc161306865"/>
      <w:r>
        <w:rPr>
          <w:rFonts w:hint="eastAsia" w:ascii="华文新魏" w:eastAsia="华文新魏"/>
          <w:sz w:val="72"/>
          <w:szCs w:val="72"/>
        </w:rPr>
        <w:t>第一章</w:t>
      </w:r>
      <w:bookmarkStart w:id="1" w:name="Fouryaoqinghan3"/>
      <w:bookmarkEnd w:id="1"/>
      <w:r>
        <w:rPr>
          <w:rFonts w:hint="eastAsia" w:ascii="华文新魏" w:eastAsia="华文新魏"/>
          <w:sz w:val="72"/>
          <w:szCs w:val="72"/>
        </w:rPr>
        <w:t xml:space="preserve"> 磋商邀请</w:t>
      </w:r>
      <w:bookmarkEnd w:id="0"/>
    </w:p>
    <w:p>
      <w:pPr>
        <w:spacing w:line="380" w:lineRule="exact"/>
        <w:ind w:firstLine="562" w:firstLineChars="200"/>
        <w:jc w:val="center"/>
        <w:rPr>
          <w:rFonts w:hint="eastAsia" w:ascii="宋体" w:hAnsi="宋体"/>
          <w:b/>
          <w:sz w:val="28"/>
          <w:szCs w:val="28"/>
        </w:rPr>
      </w:pPr>
      <w:r>
        <w:rPr>
          <w:rFonts w:hint="eastAsia" w:ascii="宋体" w:hAnsi="宋体"/>
          <w:b/>
          <w:sz w:val="28"/>
          <w:szCs w:val="28"/>
        </w:rPr>
        <w:t>磋商邀请函</w:t>
      </w:r>
    </w:p>
    <w:p>
      <w:pPr>
        <w:spacing w:line="380" w:lineRule="exact"/>
        <w:ind w:firstLine="562" w:firstLineChars="200"/>
        <w:jc w:val="center"/>
        <w:rPr>
          <w:rFonts w:ascii="宋体" w:hAnsi="宋体"/>
          <w:b/>
          <w:sz w:val="28"/>
          <w:szCs w:val="28"/>
        </w:rPr>
      </w:pPr>
    </w:p>
    <w:p>
      <w:pPr>
        <w:spacing w:line="380" w:lineRule="exact"/>
        <w:ind w:firstLine="420" w:firstLineChars="200"/>
        <w:rPr>
          <w:rFonts w:ascii="宋体" w:hAnsi="宋体"/>
          <w:szCs w:val="21"/>
          <w:u w:val="single"/>
        </w:rPr>
      </w:pPr>
      <w:r>
        <w:rPr>
          <w:rFonts w:hint="eastAsia"/>
          <w:szCs w:val="21"/>
        </w:rPr>
        <w:t>深圳市东方招标有限公司受</w:t>
      </w:r>
      <w:r>
        <w:rPr>
          <w:rFonts w:hint="eastAsia"/>
          <w:szCs w:val="21"/>
          <w:u w:val="single"/>
        </w:rPr>
        <w:t xml:space="preserve"> </w:t>
      </w:r>
      <w:r>
        <w:rPr>
          <w:rFonts w:hint="eastAsia" w:ascii="宋体" w:hAnsi="宋体"/>
          <w:bCs/>
          <w:u w:val="single"/>
        </w:rPr>
        <w:t xml:space="preserve">国家税务总局深圳市罗湖区税务局 </w:t>
      </w:r>
      <w:r>
        <w:rPr>
          <w:rFonts w:hint="eastAsia"/>
          <w:szCs w:val="21"/>
        </w:rPr>
        <w:t>委托，就</w:t>
      </w:r>
      <w:r>
        <w:rPr>
          <w:rFonts w:hint="eastAsia" w:ascii="宋体" w:hAnsi="宋体"/>
          <w:bCs/>
          <w:u w:val="single"/>
        </w:rPr>
        <w:t>国家税务总局深圳市罗湖区税务局202</w:t>
      </w:r>
      <w:r>
        <w:rPr>
          <w:rFonts w:ascii="宋体" w:hAnsi="宋体"/>
          <w:bCs/>
          <w:u w:val="single"/>
        </w:rPr>
        <w:t>4</w:t>
      </w:r>
      <w:r>
        <w:rPr>
          <w:rFonts w:hint="eastAsia" w:ascii="宋体" w:hAnsi="宋体"/>
          <w:bCs/>
          <w:u w:val="single"/>
        </w:rPr>
        <w:t>年自助办税终端驻点运维服务项目</w:t>
      </w:r>
      <w:r>
        <w:rPr>
          <w:rFonts w:hint="eastAsia"/>
        </w:rPr>
        <w:t>采用竞争性磋商的方式进行采购，邀请有服务能力的合格</w:t>
      </w:r>
      <w:r>
        <w:rPr>
          <w:rFonts w:hint="eastAsia" w:ascii="宋体" w:hAnsi="宋体"/>
        </w:rPr>
        <w:t>供应商参加磋商会议</w:t>
      </w:r>
      <w:r>
        <w:rPr>
          <w:rFonts w:hint="eastAsia"/>
          <w:szCs w:val="21"/>
        </w:rPr>
        <w:t>。</w:t>
      </w:r>
    </w:p>
    <w:p>
      <w:pPr>
        <w:adjustRightInd w:val="0"/>
        <w:spacing w:line="380" w:lineRule="exact"/>
        <w:rPr>
          <w:rFonts w:hint="eastAsia"/>
          <w:szCs w:val="21"/>
        </w:rPr>
      </w:pPr>
      <w:r>
        <w:rPr>
          <w:b/>
        </w:rPr>
        <w:t>1</w:t>
      </w:r>
      <w:r>
        <w:rPr>
          <w:rFonts w:hint="eastAsia"/>
          <w:b/>
        </w:rPr>
        <w:t>.项目</w:t>
      </w:r>
      <w:r>
        <w:rPr>
          <w:b/>
        </w:rPr>
        <w:t>编号：</w:t>
      </w:r>
      <w:r>
        <w:rPr>
          <w:rFonts w:ascii="宋体" w:hAnsi="宋体"/>
          <w:bCs/>
          <w:u w:val="single"/>
        </w:rPr>
        <w:t>1243-456OTC2402003</w:t>
      </w:r>
    </w:p>
    <w:p>
      <w:pPr>
        <w:spacing w:line="380" w:lineRule="exact"/>
        <w:rPr>
          <w:szCs w:val="21"/>
        </w:rPr>
      </w:pPr>
      <w:r>
        <w:rPr>
          <w:b/>
          <w:bCs/>
        </w:rPr>
        <w:t>2</w:t>
      </w:r>
      <w:r>
        <w:rPr>
          <w:rFonts w:hint="eastAsia"/>
          <w:b/>
          <w:bCs/>
        </w:rPr>
        <w:t>.项目名称：</w:t>
      </w:r>
      <w:r>
        <w:rPr>
          <w:rFonts w:hint="eastAsia" w:ascii="宋体" w:hAnsi="宋体"/>
          <w:bCs/>
          <w:u w:val="single"/>
        </w:rPr>
        <w:t>国家税务总局深圳市罗湖区税务局2024年自助办税终端驻点运维服务项目</w:t>
      </w:r>
    </w:p>
    <w:p>
      <w:pPr>
        <w:spacing w:line="400" w:lineRule="exact"/>
        <w:ind w:left="1653" w:hanging="1653" w:hangingChars="784"/>
        <w:rPr>
          <w:rFonts w:hint="eastAsia" w:ascii="宋体" w:hAnsi="宋体"/>
          <w:bCs/>
          <w:u w:val="single"/>
        </w:rPr>
      </w:pPr>
      <w:r>
        <w:rPr>
          <w:b/>
          <w:bCs/>
        </w:rPr>
        <w:t>3</w:t>
      </w:r>
      <w:r>
        <w:rPr>
          <w:rFonts w:hint="eastAsia" w:hAnsi="宋体"/>
          <w:b/>
          <w:bCs/>
        </w:rPr>
        <w:t>.采购</w:t>
      </w:r>
      <w:r>
        <w:rPr>
          <w:rFonts w:hAnsi="宋体"/>
          <w:b/>
          <w:bCs/>
        </w:rPr>
        <w:t>内容</w:t>
      </w:r>
      <w:r>
        <w:rPr>
          <w:rFonts w:hAnsi="宋体"/>
        </w:rPr>
        <w:t>：</w:t>
      </w:r>
      <w:bookmarkStart w:id="2" w:name="OLE_LINK1"/>
    </w:p>
    <w:tbl>
      <w:tblPr>
        <w:tblStyle w:val="26"/>
        <w:tblW w:w="7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851"/>
        <w:gridCol w:w="2987"/>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21" w:hRule="atLeast"/>
          <w:jc w:val="center"/>
        </w:trPr>
        <w:tc>
          <w:tcPr>
            <w:tcW w:w="23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rPr>
            </w:pPr>
            <w:r>
              <w:rPr>
                <w:rFonts w:hAnsi="宋体"/>
                <w:b/>
                <w:bCs/>
              </w:rPr>
              <w:t>标的内容</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rPr>
            </w:pPr>
            <w:r>
              <w:rPr>
                <w:rFonts w:hAnsi="宋体"/>
                <w:b/>
              </w:rPr>
              <w:t>数量</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b/>
              </w:rPr>
            </w:pPr>
            <w:r>
              <w:rPr>
                <w:rFonts w:hint="eastAsia" w:hAnsi="宋体"/>
                <w:b/>
                <w:szCs w:val="21"/>
              </w:rPr>
              <w:t>预算金额</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b/>
                <w:szCs w:val="21"/>
              </w:rPr>
            </w:pPr>
            <w:r>
              <w:rPr>
                <w:rFonts w:hint="eastAsia" w:hAnsi="宋体"/>
                <w:b/>
                <w:szCs w:val="21"/>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jc w:val="center"/>
        </w:trPr>
        <w:tc>
          <w:tcPr>
            <w:tcW w:w="239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hAnsi="宋体"/>
              </w:rPr>
              <w:t>自助办税终端驻点运维服务</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Ansi="宋体"/>
              </w:rPr>
              <w:t>一项</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hAnsi="宋体"/>
                <w:szCs w:val="21"/>
              </w:rPr>
              <w:t>人民币贰拾壹万柒仟伍佰元整（¥</w:t>
            </w:r>
            <w:r>
              <w:rPr>
                <w:rFonts w:hAnsi="宋体"/>
                <w:szCs w:val="21"/>
              </w:rPr>
              <w:t>217,500.00</w:t>
            </w:r>
            <w:r>
              <w:rPr>
                <w:rFonts w:hint="eastAsia" w:hAnsi="宋体"/>
                <w:szCs w:val="21"/>
              </w:rPr>
              <w:t>）</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rPr>
            </w:pPr>
            <w:r>
              <w:rPr>
                <w:rFonts w:hint="eastAsia"/>
              </w:rPr>
              <w:t>竞争性磋商</w:t>
            </w:r>
          </w:p>
        </w:tc>
      </w:tr>
      <w:bookmarkEnd w:id="2"/>
    </w:tbl>
    <w:p>
      <w:pPr>
        <w:adjustRightInd w:val="0"/>
        <w:spacing w:line="400" w:lineRule="exact"/>
        <w:ind w:left="169" w:hanging="169" w:hangingChars="80"/>
        <w:rPr>
          <w:szCs w:val="21"/>
        </w:rPr>
      </w:pPr>
      <w:r>
        <w:rPr>
          <w:b/>
        </w:rPr>
        <w:t>4</w:t>
      </w:r>
      <w:r>
        <w:rPr>
          <w:rFonts w:hint="eastAsia" w:hAnsi="宋体"/>
          <w:b/>
        </w:rPr>
        <w:t>.</w:t>
      </w:r>
      <w:r>
        <w:rPr>
          <w:rFonts w:hint="eastAsia"/>
          <w:b/>
        </w:rPr>
        <w:t>购买竞争性磋商文件时间及地点</w:t>
      </w:r>
      <w:r>
        <w:rPr>
          <w:rFonts w:hAnsi="宋体"/>
          <w:b/>
        </w:rPr>
        <w:t>：</w:t>
      </w:r>
      <w:r>
        <w:rPr>
          <w:szCs w:val="21"/>
        </w:rPr>
        <w:t>2024年</w:t>
      </w:r>
      <w:r>
        <w:rPr>
          <w:rFonts w:hint="eastAsia" w:hAnsi="宋体"/>
          <w:color w:val="0000FF"/>
          <w:szCs w:val="21"/>
          <w:u w:val="single"/>
        </w:rPr>
        <w:t>3</w:t>
      </w:r>
      <w:r>
        <w:rPr>
          <w:rFonts w:hAnsi="宋体"/>
          <w:color w:val="0000FF"/>
          <w:szCs w:val="21"/>
        </w:rPr>
        <w:t>月</w:t>
      </w:r>
      <w:r>
        <w:rPr>
          <w:rFonts w:hAnsi="宋体"/>
          <w:color w:val="0000FF"/>
          <w:szCs w:val="21"/>
          <w:u w:val="single"/>
        </w:rPr>
        <w:t>1</w:t>
      </w:r>
      <w:r>
        <w:rPr>
          <w:rFonts w:hint="eastAsia" w:hAnsi="宋体"/>
          <w:color w:val="0000FF"/>
          <w:szCs w:val="21"/>
          <w:u w:val="single"/>
        </w:rPr>
        <w:t>8</w:t>
      </w:r>
      <w:r>
        <w:rPr>
          <w:rFonts w:hAnsi="宋体"/>
          <w:color w:val="0000FF"/>
          <w:szCs w:val="21"/>
        </w:rPr>
        <w:t>日至</w:t>
      </w:r>
      <w:r>
        <w:rPr>
          <w:rFonts w:hint="eastAsia" w:hAnsi="宋体"/>
          <w:color w:val="0000FF"/>
          <w:szCs w:val="21"/>
          <w:u w:val="single"/>
        </w:rPr>
        <w:t>3</w:t>
      </w:r>
      <w:r>
        <w:rPr>
          <w:rFonts w:hAnsi="宋体"/>
          <w:color w:val="0000FF"/>
          <w:szCs w:val="21"/>
        </w:rPr>
        <w:t>月</w:t>
      </w:r>
      <w:r>
        <w:rPr>
          <w:rFonts w:hAnsi="宋体"/>
          <w:color w:val="0000FF"/>
          <w:szCs w:val="21"/>
          <w:u w:val="single"/>
        </w:rPr>
        <w:t>2</w:t>
      </w:r>
      <w:r>
        <w:rPr>
          <w:rFonts w:hint="eastAsia" w:hAnsi="宋体"/>
          <w:color w:val="0000FF"/>
          <w:szCs w:val="21"/>
          <w:u w:val="single"/>
        </w:rPr>
        <w:t>5</w:t>
      </w:r>
      <w:r>
        <w:rPr>
          <w:rFonts w:hAnsi="宋体"/>
          <w:color w:val="0000FF"/>
          <w:szCs w:val="21"/>
        </w:rPr>
        <w:t>日</w:t>
      </w:r>
      <w:r>
        <w:rPr>
          <w:rFonts w:hAnsi="宋体"/>
          <w:szCs w:val="21"/>
        </w:rPr>
        <w:t>，</w:t>
      </w:r>
      <w:r>
        <w:rPr>
          <w:szCs w:val="21"/>
        </w:rPr>
        <w:t>09:00</w:t>
      </w:r>
      <w:r>
        <w:rPr>
          <w:rFonts w:hAnsi="宋体"/>
          <w:szCs w:val="21"/>
        </w:rPr>
        <w:t>～</w:t>
      </w:r>
      <w:r>
        <w:rPr>
          <w:szCs w:val="21"/>
        </w:rPr>
        <w:t>11:30</w:t>
      </w:r>
      <w:r>
        <w:rPr>
          <w:rFonts w:hAnsi="宋体"/>
          <w:szCs w:val="21"/>
        </w:rPr>
        <w:t>、</w:t>
      </w:r>
      <w:r>
        <w:rPr>
          <w:szCs w:val="21"/>
        </w:rPr>
        <w:t>14:00</w:t>
      </w:r>
      <w:r>
        <w:rPr>
          <w:rFonts w:hAnsi="宋体"/>
          <w:szCs w:val="21"/>
        </w:rPr>
        <w:t>～</w:t>
      </w:r>
      <w:r>
        <w:rPr>
          <w:szCs w:val="21"/>
        </w:rPr>
        <w:t>17:00</w:t>
      </w:r>
      <w:r>
        <w:rPr>
          <w:rFonts w:hAnsi="宋体"/>
        </w:rPr>
        <w:t>（北京时间）（公休日及法定节假日除外）</w:t>
      </w:r>
      <w:r>
        <w:rPr>
          <w:rFonts w:hAnsi="宋体"/>
          <w:bCs/>
        </w:rPr>
        <w:t>。</w:t>
      </w:r>
      <w:r>
        <w:rPr>
          <w:rFonts w:hAnsi="宋体"/>
        </w:rPr>
        <w:t>深圳市</w:t>
      </w:r>
      <w:r>
        <w:rPr>
          <w:rFonts w:hAnsi="宋体"/>
          <w:szCs w:val="27"/>
        </w:rPr>
        <w:t>福田区新闻路</w:t>
      </w:r>
      <w:r>
        <w:rPr>
          <w:szCs w:val="27"/>
        </w:rPr>
        <w:t>59</w:t>
      </w:r>
      <w:r>
        <w:rPr>
          <w:rFonts w:hAnsi="宋体"/>
          <w:szCs w:val="27"/>
        </w:rPr>
        <w:t>号深茂商业中心</w:t>
      </w:r>
      <w:r>
        <w:rPr>
          <w:szCs w:val="27"/>
        </w:rPr>
        <w:t>13</w:t>
      </w:r>
      <w:r>
        <w:rPr>
          <w:rFonts w:hAnsi="宋体"/>
          <w:szCs w:val="27"/>
        </w:rPr>
        <w:t>楼</w:t>
      </w:r>
      <w:r>
        <w:rPr>
          <w:szCs w:val="27"/>
        </w:rPr>
        <w:t>A</w:t>
      </w:r>
      <w:r>
        <w:rPr>
          <w:rFonts w:hAnsi="宋体"/>
          <w:szCs w:val="27"/>
        </w:rPr>
        <w:t>座。</w:t>
      </w:r>
    </w:p>
    <w:p>
      <w:pPr>
        <w:adjustRightInd w:val="0"/>
        <w:spacing w:line="400" w:lineRule="exact"/>
        <w:ind w:left="253" w:hanging="253" w:hangingChars="120"/>
        <w:rPr>
          <w:rFonts w:hint="eastAsia"/>
        </w:rPr>
      </w:pPr>
      <w:r>
        <w:rPr>
          <w:b/>
        </w:rPr>
        <w:t>5</w:t>
      </w:r>
      <w:r>
        <w:rPr>
          <w:rFonts w:hint="eastAsia"/>
          <w:b/>
        </w:rPr>
        <w:t>.</w:t>
      </w:r>
      <w:r>
        <w:rPr>
          <w:rStyle w:val="29"/>
          <w:rFonts w:hint="eastAsia"/>
          <w:szCs w:val="21"/>
          <w:shd w:val="clear" w:color="auto" w:fill="F8F8F8"/>
        </w:rPr>
        <w:t>竞争性磋商文件售价</w:t>
      </w:r>
      <w:r>
        <w:rPr>
          <w:rFonts w:hAnsi="宋体"/>
          <w:b/>
        </w:rPr>
        <w:t>：</w:t>
      </w:r>
      <w:r>
        <w:rPr>
          <w:rFonts w:hAnsi="宋体"/>
        </w:rPr>
        <w:t>人民币</w:t>
      </w:r>
      <w:r>
        <w:rPr>
          <w:rFonts w:hint="eastAsia"/>
        </w:rPr>
        <w:t>650</w:t>
      </w:r>
      <w:r>
        <w:rPr>
          <w:rFonts w:hAnsi="宋体"/>
        </w:rPr>
        <w:t>元</w:t>
      </w:r>
      <w:r>
        <w:t>/</w:t>
      </w:r>
      <w:r>
        <w:rPr>
          <w:rFonts w:hAnsi="宋体"/>
        </w:rPr>
        <w:t>份；</w:t>
      </w:r>
      <w:r>
        <w:rPr>
          <w:rFonts w:hint="eastAsia" w:hAnsi="宋体"/>
        </w:rPr>
        <w:t>竞争性磋商文件</w:t>
      </w:r>
      <w:r>
        <w:rPr>
          <w:rFonts w:hAnsi="宋体"/>
        </w:rPr>
        <w:t>售后不退。</w:t>
      </w:r>
    </w:p>
    <w:p>
      <w:pPr>
        <w:adjustRightInd w:val="0"/>
        <w:spacing w:line="400" w:lineRule="exact"/>
        <w:ind w:left="169" w:hanging="169" w:hangingChars="80"/>
        <w:rPr>
          <w:b/>
        </w:rPr>
      </w:pPr>
      <w:r>
        <w:rPr>
          <w:b/>
        </w:rPr>
        <w:t>6</w:t>
      </w:r>
      <w:r>
        <w:rPr>
          <w:rFonts w:hint="eastAsia" w:hAnsi="宋体"/>
          <w:b/>
        </w:rPr>
        <w:t>.</w:t>
      </w:r>
      <w:r>
        <w:rPr>
          <w:b/>
        </w:rPr>
        <w:t>答疑事项：</w:t>
      </w:r>
      <w:r>
        <w:rPr>
          <w:rFonts w:hint="eastAsia" w:ascii="宋体" w:hAnsi="宋体"/>
          <w:szCs w:val="21"/>
        </w:rPr>
        <w:t>供应商</w:t>
      </w:r>
      <w:r>
        <w:rPr>
          <w:rFonts w:hint="eastAsia" w:hAnsi="宋体"/>
        </w:rPr>
        <w:t>若有疑问，请于</w:t>
      </w:r>
      <w:r>
        <w:rPr>
          <w:szCs w:val="21"/>
        </w:rPr>
        <w:t>2024年</w:t>
      </w:r>
      <w:r>
        <w:rPr>
          <w:rFonts w:hint="eastAsia" w:hAnsi="宋体"/>
          <w:color w:val="0000FF"/>
          <w:szCs w:val="21"/>
          <w:u w:val="single"/>
        </w:rPr>
        <w:t>3</w:t>
      </w:r>
      <w:r>
        <w:rPr>
          <w:rFonts w:hAnsi="宋体"/>
          <w:color w:val="0000FF"/>
          <w:szCs w:val="21"/>
        </w:rPr>
        <w:t>月</w:t>
      </w:r>
      <w:r>
        <w:rPr>
          <w:rFonts w:hAnsi="宋体"/>
          <w:color w:val="0000FF"/>
          <w:szCs w:val="21"/>
          <w:u w:val="single"/>
        </w:rPr>
        <w:t>2</w:t>
      </w:r>
      <w:r>
        <w:rPr>
          <w:rFonts w:hint="eastAsia" w:hAnsi="宋体"/>
          <w:color w:val="0000FF"/>
          <w:szCs w:val="21"/>
          <w:u w:val="single"/>
        </w:rPr>
        <w:t>5</w:t>
      </w:r>
      <w:r>
        <w:rPr>
          <w:rFonts w:hAnsi="宋体"/>
          <w:color w:val="0000FF"/>
          <w:szCs w:val="21"/>
        </w:rPr>
        <w:t>日</w:t>
      </w:r>
      <w:r>
        <w:t>17:00</w:t>
      </w:r>
      <w:r>
        <w:rPr>
          <w:rFonts w:hint="eastAsia"/>
          <w:szCs w:val="21"/>
        </w:rPr>
        <w:t>（</w:t>
      </w:r>
      <w:r>
        <w:rPr>
          <w:rFonts w:hint="eastAsia" w:ascii="宋体" w:hAnsi="宋体"/>
          <w:szCs w:val="21"/>
        </w:rPr>
        <w:t>北京时间）</w:t>
      </w:r>
      <w:r>
        <w:rPr>
          <w:rFonts w:hAnsi="宋体"/>
        </w:rPr>
        <w:t>前将对</w:t>
      </w:r>
      <w:r>
        <w:rPr>
          <w:rFonts w:hint="eastAsia" w:hAnsi="宋体"/>
        </w:rPr>
        <w:t>《竞争性磋商文件》</w:t>
      </w:r>
      <w:r>
        <w:rPr>
          <w:rFonts w:hAnsi="宋体"/>
        </w:rPr>
        <w:t>的疑问</w:t>
      </w:r>
      <w:r>
        <w:rPr>
          <w:rFonts w:hint="eastAsia" w:hAnsi="宋体"/>
        </w:rPr>
        <w:t>以书面方式（加盖公章）</w:t>
      </w:r>
      <w:r>
        <w:rPr>
          <w:rFonts w:hAnsi="宋体"/>
        </w:rPr>
        <w:t>提出，逾期将不予受理。</w:t>
      </w:r>
    </w:p>
    <w:p>
      <w:pPr>
        <w:adjustRightInd w:val="0"/>
        <w:spacing w:line="400" w:lineRule="exact"/>
        <w:ind w:left="169" w:hanging="169" w:hangingChars="80"/>
        <w:rPr>
          <w:rFonts w:hint="eastAsia"/>
        </w:rPr>
      </w:pPr>
      <w:r>
        <w:rPr>
          <w:rFonts w:hint="eastAsia"/>
          <w:b/>
        </w:rPr>
        <w:t>7.递交磋商应答文件截止时间及地点</w:t>
      </w:r>
      <w:r>
        <w:rPr>
          <w:rFonts w:hint="eastAsia"/>
        </w:rPr>
        <w:t>：</w:t>
      </w:r>
      <w:r>
        <w:rPr>
          <w:szCs w:val="21"/>
        </w:rPr>
        <w:t>2024年</w:t>
      </w:r>
      <w:r>
        <w:rPr>
          <w:rFonts w:hint="eastAsia" w:hAnsi="宋体"/>
          <w:color w:val="0000FF"/>
          <w:szCs w:val="21"/>
          <w:u w:val="single"/>
        </w:rPr>
        <w:t>3</w:t>
      </w:r>
      <w:r>
        <w:rPr>
          <w:rFonts w:hAnsi="宋体"/>
          <w:color w:val="0000FF"/>
          <w:szCs w:val="21"/>
        </w:rPr>
        <w:t>月</w:t>
      </w:r>
      <w:r>
        <w:rPr>
          <w:rFonts w:hAnsi="宋体"/>
          <w:color w:val="0000FF"/>
          <w:szCs w:val="21"/>
          <w:u w:val="single"/>
        </w:rPr>
        <w:t>2</w:t>
      </w:r>
      <w:r>
        <w:rPr>
          <w:rFonts w:hint="eastAsia" w:hAnsi="宋体"/>
          <w:color w:val="0000FF"/>
          <w:szCs w:val="21"/>
          <w:u w:val="single"/>
        </w:rPr>
        <w:t>8</w:t>
      </w:r>
      <w:r>
        <w:rPr>
          <w:rFonts w:hAnsi="宋体"/>
          <w:color w:val="0000FF"/>
          <w:szCs w:val="21"/>
        </w:rPr>
        <w:t>日</w:t>
      </w:r>
      <w:r>
        <w:rPr>
          <w:rFonts w:hAnsi="宋体"/>
          <w:color w:val="0000FF"/>
        </w:rPr>
        <w:t>14:30（星期</w:t>
      </w:r>
      <w:r>
        <w:rPr>
          <w:rFonts w:hint="eastAsia" w:hAnsi="宋体"/>
          <w:color w:val="0000FF"/>
        </w:rPr>
        <w:t>四</w:t>
      </w:r>
      <w:r>
        <w:rPr>
          <w:rFonts w:hAnsi="宋体"/>
          <w:color w:val="0000FF"/>
        </w:rPr>
        <w:t>）</w:t>
      </w:r>
      <w:r>
        <w:rPr>
          <w:rFonts w:hint="eastAsia"/>
        </w:rPr>
        <w:t>（北京时间），所有磋商应答文件应于磋商截止时间之前递交，迟交的磋商应答文件将拒绝接收。</w:t>
      </w:r>
      <w:r>
        <w:rPr>
          <w:rFonts w:hint="eastAsia"/>
          <w:b/>
        </w:rPr>
        <w:t>地点</w:t>
      </w:r>
      <w:r>
        <w:rPr>
          <w:rFonts w:hint="eastAsia"/>
        </w:rPr>
        <w:t>：深圳市福田区新闻路59号深茂商业中心13楼A座。</w:t>
      </w:r>
    </w:p>
    <w:p>
      <w:pPr>
        <w:adjustRightInd w:val="0"/>
        <w:spacing w:line="400" w:lineRule="exact"/>
        <w:ind w:left="169" w:hanging="169" w:hangingChars="80"/>
      </w:pPr>
      <w:r>
        <w:rPr>
          <w:rFonts w:hint="eastAsia"/>
          <w:b/>
        </w:rPr>
        <w:t>8.磋商开始时间</w:t>
      </w:r>
      <w:r>
        <w:rPr>
          <w:b/>
        </w:rPr>
        <w:t>：</w:t>
      </w:r>
      <w:r>
        <w:rPr>
          <w:szCs w:val="21"/>
        </w:rPr>
        <w:t>2024年</w:t>
      </w:r>
      <w:r>
        <w:rPr>
          <w:rFonts w:hint="eastAsia" w:hAnsi="宋体"/>
          <w:color w:val="0000FF"/>
          <w:szCs w:val="21"/>
          <w:u w:val="single"/>
        </w:rPr>
        <w:t>3</w:t>
      </w:r>
      <w:r>
        <w:rPr>
          <w:rFonts w:hAnsi="宋体"/>
          <w:color w:val="0000FF"/>
          <w:szCs w:val="21"/>
        </w:rPr>
        <w:t>月</w:t>
      </w:r>
      <w:r>
        <w:rPr>
          <w:rFonts w:hAnsi="宋体"/>
          <w:color w:val="0000FF"/>
          <w:szCs w:val="21"/>
          <w:u w:val="single"/>
        </w:rPr>
        <w:t>2</w:t>
      </w:r>
      <w:r>
        <w:rPr>
          <w:rFonts w:hint="eastAsia" w:hAnsi="宋体"/>
          <w:color w:val="0000FF"/>
          <w:szCs w:val="21"/>
          <w:u w:val="single"/>
        </w:rPr>
        <w:t>8</w:t>
      </w:r>
      <w:r>
        <w:rPr>
          <w:rFonts w:hAnsi="宋体"/>
          <w:color w:val="0000FF"/>
          <w:szCs w:val="21"/>
        </w:rPr>
        <w:t>日</w:t>
      </w:r>
      <w:r>
        <w:rPr>
          <w:rFonts w:hAnsi="宋体"/>
          <w:color w:val="0000FF"/>
        </w:rPr>
        <w:t>14:30（星期</w:t>
      </w:r>
      <w:r>
        <w:rPr>
          <w:rFonts w:hint="eastAsia" w:hAnsi="宋体"/>
          <w:color w:val="0000FF"/>
        </w:rPr>
        <w:t>四</w:t>
      </w:r>
      <w:r>
        <w:rPr>
          <w:rFonts w:hAnsi="宋体"/>
          <w:color w:val="0000FF"/>
        </w:rPr>
        <w:t>）</w:t>
      </w:r>
      <w:r>
        <w:rPr>
          <w:rFonts w:hint="eastAsia"/>
        </w:rPr>
        <w:t>（北京时间），请供应商授权代表准时参加。</w:t>
      </w:r>
    </w:p>
    <w:p>
      <w:pPr>
        <w:adjustRightInd w:val="0"/>
        <w:spacing w:line="400" w:lineRule="exact"/>
        <w:ind w:left="169" w:hanging="169" w:hangingChars="80"/>
      </w:pPr>
      <w:r>
        <w:rPr>
          <w:rFonts w:hint="eastAsia"/>
          <w:b/>
        </w:rPr>
        <w:t>9.磋商地点：</w:t>
      </w:r>
      <w:r>
        <w:rPr>
          <w:rFonts w:hint="eastAsia"/>
        </w:rPr>
        <w:t>深圳市东方招标有限公司会议室。地址：深圳市福田区新闻路59号深茂商业中心13楼A座。</w:t>
      </w:r>
    </w:p>
    <w:p>
      <w:pPr>
        <w:adjustRightInd w:val="0"/>
        <w:spacing w:line="380" w:lineRule="exact"/>
        <w:ind w:left="190" w:hanging="190" w:hangingChars="90"/>
        <w:rPr>
          <w:rFonts w:hint="eastAsia"/>
        </w:rPr>
      </w:pPr>
      <w:r>
        <w:rPr>
          <w:rFonts w:hint="eastAsia"/>
          <w:b/>
        </w:rPr>
        <w:t>10.说明：</w:t>
      </w:r>
      <w:r>
        <w:rPr>
          <w:rFonts w:hint="eastAsia"/>
        </w:rPr>
        <w:t>凡购买《竞争性磋商文件》后决定不参加磋商的供应商，请在递交</w:t>
      </w:r>
      <w:r>
        <w:rPr>
          <w:rFonts w:hint="eastAsia"/>
          <w:kern w:val="0"/>
        </w:rPr>
        <w:t>磋商应答文件</w:t>
      </w:r>
      <w:r>
        <w:rPr>
          <w:rFonts w:hint="eastAsia"/>
        </w:rPr>
        <w:t>截止日期前</w:t>
      </w:r>
      <w:r>
        <w:rPr>
          <w:rFonts w:hint="eastAsia"/>
          <w:u w:val="single"/>
        </w:rPr>
        <w:t>3</w:t>
      </w:r>
      <w:r>
        <w:rPr>
          <w:rFonts w:hint="eastAsia"/>
        </w:rPr>
        <w:t>日以书面形式通知招标代理机构。若该项目需重新组织磋商，采购人有权拒绝未予书面通知的供应商的重新报名。</w:t>
      </w:r>
    </w:p>
    <w:p>
      <w:pPr>
        <w:adjustRightInd w:val="0"/>
        <w:spacing w:line="380" w:lineRule="exact"/>
        <w:ind w:left="357" w:hanging="357" w:hangingChars="170"/>
        <w:rPr>
          <w:rFonts w:hint="eastAsia"/>
          <w:color w:val="FF0000"/>
        </w:rPr>
      </w:pP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06"/>
        <w:gridCol w:w="45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2" w:hRule="atLeast"/>
          <w:jc w:val="center"/>
        </w:trPr>
        <w:tc>
          <w:tcPr>
            <w:tcW w:w="4106" w:type="dxa"/>
            <w:tcBorders>
              <w:top w:val="single" w:color="auto" w:sz="4" w:space="0"/>
              <w:bottom w:val="single" w:color="auto" w:sz="4" w:space="0"/>
              <w:right w:val="single" w:color="auto" w:sz="4" w:space="0"/>
            </w:tcBorders>
            <w:noWrap w:val="0"/>
            <w:vAlign w:val="center"/>
          </w:tcPr>
          <w:p>
            <w:pPr>
              <w:jc w:val="center"/>
              <w:rPr>
                <w:b/>
                <w:szCs w:val="21"/>
              </w:rPr>
            </w:pPr>
            <w:r>
              <w:rPr>
                <w:rFonts w:hAnsi="宋体"/>
                <w:b/>
                <w:kern w:val="0"/>
                <w:szCs w:val="21"/>
                <w:lang w:val="zh-CN"/>
              </w:rPr>
              <w:t>采购人信息</w:t>
            </w:r>
          </w:p>
        </w:tc>
        <w:tc>
          <w:tcPr>
            <w:tcW w:w="4558" w:type="dxa"/>
            <w:tcBorders>
              <w:top w:val="single" w:color="auto" w:sz="4" w:space="0"/>
              <w:left w:val="single" w:color="auto" w:sz="4" w:space="0"/>
              <w:bottom w:val="single" w:color="auto" w:sz="4" w:space="0"/>
            </w:tcBorders>
            <w:noWrap w:val="0"/>
            <w:vAlign w:val="center"/>
          </w:tcPr>
          <w:p>
            <w:pPr>
              <w:jc w:val="center"/>
              <w:rPr>
                <w:b/>
                <w:szCs w:val="21"/>
              </w:rPr>
            </w:pPr>
            <w:r>
              <w:rPr>
                <w:rFonts w:hAnsi="宋体"/>
                <w:b/>
                <w:kern w:val="0"/>
                <w:szCs w:val="21"/>
                <w:lang w:val="zh-CN"/>
              </w:rPr>
              <w:t>采购代理机构信息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372" w:hRule="atLeast"/>
          <w:jc w:val="center"/>
        </w:trPr>
        <w:tc>
          <w:tcPr>
            <w:tcW w:w="4106" w:type="dxa"/>
            <w:tcBorders>
              <w:top w:val="single" w:color="auto" w:sz="4" w:space="0"/>
              <w:right w:val="single" w:color="auto" w:sz="4" w:space="0"/>
            </w:tcBorders>
            <w:noWrap w:val="0"/>
            <w:vAlign w:val="center"/>
          </w:tcPr>
          <w:p>
            <w:pPr>
              <w:rPr>
                <w:szCs w:val="21"/>
              </w:rPr>
            </w:pPr>
            <w:r>
              <w:rPr>
                <w:rFonts w:hAnsi="宋体"/>
                <w:szCs w:val="21"/>
              </w:rPr>
              <w:t>采购人：国家税务总局深圳市罗湖区税务局</w:t>
            </w:r>
          </w:p>
        </w:tc>
        <w:tc>
          <w:tcPr>
            <w:tcW w:w="4558" w:type="dxa"/>
            <w:tcBorders>
              <w:top w:val="single" w:color="auto" w:sz="4" w:space="0"/>
              <w:left w:val="single" w:color="auto" w:sz="4" w:space="0"/>
            </w:tcBorders>
            <w:noWrap w:val="0"/>
            <w:vAlign w:val="center"/>
          </w:tcPr>
          <w:p>
            <w:pPr>
              <w:rPr>
                <w:szCs w:val="21"/>
              </w:rPr>
            </w:pPr>
            <w:r>
              <w:rPr>
                <w:rFonts w:hAnsi="宋体"/>
                <w:szCs w:val="21"/>
              </w:rPr>
              <w:t>招标机构：深圳市东方招标有限公司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702" w:hRule="atLeast"/>
          <w:jc w:val="center"/>
        </w:trPr>
        <w:tc>
          <w:tcPr>
            <w:tcW w:w="4106" w:type="dxa"/>
            <w:tcBorders>
              <w:right w:val="single" w:color="auto" w:sz="4" w:space="0"/>
            </w:tcBorders>
            <w:noWrap w:val="0"/>
            <w:vAlign w:val="center"/>
          </w:tcPr>
          <w:p>
            <w:pPr>
              <w:ind w:left="1247" w:hanging="1247" w:hangingChars="594"/>
              <w:rPr>
                <w:szCs w:val="21"/>
              </w:rPr>
            </w:pPr>
            <w:r>
              <w:rPr>
                <w:rFonts w:hAnsi="宋体"/>
                <w:szCs w:val="21"/>
              </w:rPr>
              <w:t>联系地址：</w:t>
            </w:r>
            <w:r>
              <w:rPr>
                <w:rFonts w:hint="eastAsia" w:hAnsi="宋体"/>
                <w:szCs w:val="21"/>
              </w:rPr>
              <w:t>深圳市罗湖区红岭北路1056号</w:t>
            </w:r>
            <w:r>
              <w:rPr>
                <w:szCs w:val="21"/>
              </w:rPr>
              <w:t xml:space="preserve"> </w:t>
            </w:r>
          </w:p>
        </w:tc>
        <w:tc>
          <w:tcPr>
            <w:tcW w:w="4558" w:type="dxa"/>
            <w:tcBorders>
              <w:left w:val="single" w:color="auto" w:sz="4" w:space="0"/>
            </w:tcBorders>
            <w:noWrap w:val="0"/>
            <w:vAlign w:val="center"/>
          </w:tcPr>
          <w:p>
            <w:pPr>
              <w:ind w:left="1050" w:hanging="1050" w:hangingChars="500"/>
              <w:rPr>
                <w:szCs w:val="21"/>
              </w:rPr>
            </w:pPr>
            <w:r>
              <w:rPr>
                <w:rFonts w:hAnsi="宋体"/>
                <w:szCs w:val="21"/>
              </w:rPr>
              <w:t>联系地址：深圳市福田区新闻路</w:t>
            </w:r>
            <w:r>
              <w:rPr>
                <w:szCs w:val="21"/>
              </w:rPr>
              <w:t>59</w:t>
            </w:r>
            <w:r>
              <w:rPr>
                <w:rFonts w:hAnsi="宋体"/>
                <w:szCs w:val="21"/>
              </w:rPr>
              <w:t>号深茂商业中心</w:t>
            </w:r>
            <w:r>
              <w:rPr>
                <w:szCs w:val="21"/>
              </w:rPr>
              <w:t>13</w:t>
            </w:r>
            <w:r>
              <w:rPr>
                <w:rFonts w:hAnsi="宋体"/>
                <w:szCs w:val="21"/>
              </w:rPr>
              <w:t>楼</w:t>
            </w:r>
            <w:r>
              <w:rPr>
                <w:szCs w:val="21"/>
              </w:rPr>
              <w:t>A</w:t>
            </w:r>
            <w:r>
              <w:rPr>
                <w:rFonts w:hint="eastAsia"/>
                <w:szCs w:val="21"/>
              </w:rPr>
              <w:t>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jc w:val="center"/>
        </w:trPr>
        <w:tc>
          <w:tcPr>
            <w:tcW w:w="4106" w:type="dxa"/>
            <w:tcBorders>
              <w:right w:val="single" w:color="auto" w:sz="4" w:space="0"/>
            </w:tcBorders>
            <w:noWrap w:val="0"/>
            <w:vAlign w:val="center"/>
          </w:tcPr>
          <w:p>
            <w:pPr>
              <w:rPr>
                <w:rFonts w:hint="eastAsia"/>
                <w:szCs w:val="21"/>
              </w:rPr>
            </w:pPr>
            <w:r>
              <w:rPr>
                <w:rFonts w:hAnsi="宋体"/>
                <w:szCs w:val="21"/>
              </w:rPr>
              <w:t>采购人联系人</w:t>
            </w:r>
            <w:r>
              <w:rPr>
                <w:rFonts w:hint="eastAsia" w:hAnsi="宋体"/>
                <w:szCs w:val="21"/>
              </w:rPr>
              <w:t>:</w:t>
            </w:r>
            <w:r>
              <w:rPr>
                <w:rFonts w:hint="eastAsia"/>
                <w:szCs w:val="21"/>
              </w:rPr>
              <w:t xml:space="preserve"> 程莉</w:t>
            </w:r>
          </w:p>
        </w:tc>
        <w:tc>
          <w:tcPr>
            <w:tcW w:w="4558" w:type="dxa"/>
            <w:tcBorders>
              <w:left w:val="single" w:color="auto" w:sz="4" w:space="0"/>
            </w:tcBorders>
            <w:noWrap w:val="0"/>
            <w:vAlign w:val="center"/>
          </w:tcPr>
          <w:p>
            <w:pPr>
              <w:rPr>
                <w:szCs w:val="21"/>
              </w:rPr>
            </w:pPr>
            <w:r>
              <w:rPr>
                <w:rFonts w:hAnsi="宋体"/>
                <w:szCs w:val="21"/>
              </w:rPr>
              <w:t>联系人：李勤超、黄晓慎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2" w:hRule="atLeast"/>
          <w:jc w:val="center"/>
        </w:trPr>
        <w:tc>
          <w:tcPr>
            <w:tcW w:w="4106" w:type="dxa"/>
            <w:tcBorders>
              <w:right w:val="single" w:color="auto" w:sz="4" w:space="0"/>
            </w:tcBorders>
            <w:noWrap w:val="0"/>
            <w:vAlign w:val="center"/>
          </w:tcPr>
          <w:p>
            <w:pPr>
              <w:rPr>
                <w:rFonts w:hint="eastAsia"/>
                <w:szCs w:val="21"/>
              </w:rPr>
            </w:pPr>
            <w:r>
              <w:rPr>
                <w:rFonts w:hAnsi="宋体"/>
                <w:szCs w:val="21"/>
              </w:rPr>
              <w:t>采购人联系电话：</w:t>
            </w:r>
            <w:r>
              <w:rPr>
                <w:rFonts w:hint="eastAsia" w:hAnsi="宋体"/>
                <w:szCs w:val="21"/>
              </w:rPr>
              <w:t>（0755）</w:t>
            </w:r>
            <w:r>
              <w:rPr>
                <w:rFonts w:hAnsi="宋体"/>
                <w:szCs w:val="21"/>
              </w:rPr>
              <w:t>25860009</w:t>
            </w:r>
          </w:p>
        </w:tc>
        <w:tc>
          <w:tcPr>
            <w:tcW w:w="4558" w:type="dxa"/>
            <w:tcBorders>
              <w:left w:val="single" w:color="auto" w:sz="4" w:space="0"/>
            </w:tcBorders>
            <w:noWrap w:val="0"/>
            <w:vAlign w:val="center"/>
          </w:tcPr>
          <w:p>
            <w:pPr>
              <w:rPr>
                <w:szCs w:val="21"/>
              </w:rPr>
            </w:pPr>
            <w:r>
              <w:rPr>
                <w:rFonts w:hAnsi="宋体"/>
                <w:szCs w:val="21"/>
              </w:rPr>
              <w:t>联系电话：</w:t>
            </w:r>
            <w:r>
              <w:rPr>
                <w:szCs w:val="21"/>
              </w:rPr>
              <w:t>0755-82949060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jc w:val="center"/>
        </w:trPr>
        <w:tc>
          <w:tcPr>
            <w:tcW w:w="4106" w:type="dxa"/>
            <w:tcBorders>
              <w:right w:val="single" w:color="auto" w:sz="4" w:space="0"/>
            </w:tcBorders>
            <w:noWrap w:val="0"/>
            <w:vAlign w:val="center"/>
          </w:tcPr>
          <w:p>
            <w:pPr>
              <w:rPr>
                <w:szCs w:val="21"/>
              </w:rPr>
            </w:pPr>
          </w:p>
        </w:tc>
        <w:tc>
          <w:tcPr>
            <w:tcW w:w="4558" w:type="dxa"/>
            <w:tcBorders>
              <w:left w:val="single" w:color="auto" w:sz="4" w:space="0"/>
            </w:tcBorders>
            <w:noWrap w:val="0"/>
            <w:vAlign w:val="center"/>
          </w:tcPr>
          <w:p>
            <w:pPr>
              <w:rPr>
                <w:szCs w:val="21"/>
              </w:rPr>
            </w:pPr>
            <w:r>
              <w:rPr>
                <w:rFonts w:hAnsi="宋体"/>
                <w:szCs w:val="21"/>
              </w:rPr>
              <w:t>电子邮箱：</w:t>
            </w:r>
            <w:r>
              <w:rPr>
                <w:szCs w:val="21"/>
              </w:rPr>
              <w:t>woliqinchao@qq.com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jc w:val="center"/>
        </w:trPr>
        <w:tc>
          <w:tcPr>
            <w:tcW w:w="4106" w:type="dxa"/>
            <w:tcBorders>
              <w:right w:val="single" w:color="auto" w:sz="4" w:space="0"/>
            </w:tcBorders>
            <w:noWrap w:val="0"/>
            <w:vAlign w:val="center"/>
          </w:tcPr>
          <w:p>
            <w:pPr>
              <w:rPr>
                <w:szCs w:val="21"/>
              </w:rPr>
            </w:pPr>
          </w:p>
        </w:tc>
        <w:tc>
          <w:tcPr>
            <w:tcW w:w="4558" w:type="dxa"/>
            <w:tcBorders>
              <w:left w:val="single" w:color="auto" w:sz="4" w:space="0"/>
            </w:tcBorders>
            <w:noWrap w:val="0"/>
            <w:vAlign w:val="center"/>
          </w:tcPr>
          <w:p>
            <w:pPr>
              <w:rPr>
                <w:szCs w:val="21"/>
              </w:rPr>
            </w:pPr>
            <w:r>
              <w:rPr>
                <w:rFonts w:hAnsi="宋体"/>
                <w:szCs w:val="21"/>
              </w:rPr>
              <w:t>公司网址：</w:t>
            </w:r>
            <w:r>
              <w:rPr>
                <w:szCs w:val="21"/>
              </w:rPr>
              <w:t>www.sz-otc.com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jc w:val="center"/>
        </w:trPr>
        <w:tc>
          <w:tcPr>
            <w:tcW w:w="4106" w:type="dxa"/>
            <w:tcBorders>
              <w:right w:val="single" w:color="auto" w:sz="4" w:space="0"/>
            </w:tcBorders>
            <w:noWrap w:val="0"/>
            <w:vAlign w:val="center"/>
          </w:tcPr>
          <w:p>
            <w:pPr>
              <w:rPr>
                <w:szCs w:val="21"/>
              </w:rPr>
            </w:pPr>
          </w:p>
        </w:tc>
        <w:tc>
          <w:tcPr>
            <w:tcW w:w="4558" w:type="dxa"/>
            <w:tcBorders>
              <w:left w:val="single" w:color="auto" w:sz="4" w:space="0"/>
            </w:tcBorders>
            <w:noWrap w:val="0"/>
            <w:vAlign w:val="center"/>
          </w:tcPr>
          <w:p>
            <w:pPr>
              <w:rPr>
                <w:szCs w:val="21"/>
              </w:rPr>
            </w:pPr>
            <w:r>
              <w:rPr>
                <w:rFonts w:hAnsi="宋体"/>
                <w:szCs w:val="21"/>
              </w:rPr>
              <w:t>开户银行：招商银行深圳景田支行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jc w:val="center"/>
        </w:trPr>
        <w:tc>
          <w:tcPr>
            <w:tcW w:w="4106" w:type="dxa"/>
            <w:tcBorders>
              <w:right w:val="single" w:color="auto" w:sz="4" w:space="0"/>
            </w:tcBorders>
            <w:noWrap w:val="0"/>
            <w:vAlign w:val="center"/>
          </w:tcPr>
          <w:p>
            <w:pPr>
              <w:rPr>
                <w:szCs w:val="21"/>
              </w:rPr>
            </w:pPr>
          </w:p>
        </w:tc>
        <w:tc>
          <w:tcPr>
            <w:tcW w:w="4558" w:type="dxa"/>
            <w:tcBorders>
              <w:left w:val="single" w:color="auto" w:sz="4" w:space="0"/>
              <w:bottom w:val="single" w:color="auto" w:sz="4" w:space="0"/>
            </w:tcBorders>
            <w:noWrap w:val="0"/>
            <w:vAlign w:val="center"/>
          </w:tcPr>
          <w:p>
            <w:pPr>
              <w:rPr>
                <w:szCs w:val="21"/>
              </w:rPr>
            </w:pPr>
            <w:r>
              <w:rPr>
                <w:rFonts w:hAnsi="宋体"/>
                <w:szCs w:val="21"/>
              </w:rPr>
              <w:t>账</w:t>
            </w:r>
            <w:r>
              <w:rPr>
                <w:szCs w:val="21"/>
              </w:rPr>
              <w:t xml:space="preserve">    </w:t>
            </w:r>
            <w:r>
              <w:rPr>
                <w:rFonts w:hAnsi="宋体"/>
                <w:szCs w:val="21"/>
              </w:rPr>
              <w:t>号：</w:t>
            </w:r>
            <w:r>
              <w:rPr>
                <w:szCs w:val="21"/>
              </w:rPr>
              <w:t>812482829710001</w:t>
            </w:r>
          </w:p>
        </w:tc>
      </w:tr>
    </w:tbl>
    <w:p>
      <w:pPr>
        <w:spacing w:line="276" w:lineRule="auto"/>
        <w:rPr>
          <w:bCs/>
          <w:color w:val="FF0000"/>
          <w:szCs w:val="21"/>
        </w:rPr>
      </w:pPr>
    </w:p>
    <w:p>
      <w:pPr>
        <w:adjustRightInd w:val="0"/>
        <w:spacing w:line="380" w:lineRule="exact"/>
        <w:rPr>
          <w:rFonts w:hint="eastAsia"/>
          <w:color w:val="FF0000"/>
        </w:rPr>
      </w:pPr>
    </w:p>
    <w:p>
      <w:pPr>
        <w:adjustRightInd w:val="0"/>
        <w:spacing w:line="380" w:lineRule="exact"/>
        <w:jc w:val="right"/>
        <w:rPr>
          <w:rFonts w:hint="eastAsia"/>
        </w:rPr>
      </w:pPr>
      <w:r>
        <w:rPr>
          <w:rFonts w:hint="eastAsia"/>
        </w:rPr>
        <w:t>深圳市东方招标有限公司</w:t>
      </w:r>
    </w:p>
    <w:p>
      <w:pPr>
        <w:wordWrap w:val="0"/>
        <w:adjustRightInd w:val="0"/>
        <w:spacing w:line="380" w:lineRule="exact"/>
        <w:jc w:val="right"/>
        <w:rPr>
          <w:rFonts w:ascii="宋体" w:hAnsi="宋体"/>
        </w:rPr>
      </w:pPr>
      <w:r>
        <w:rPr>
          <w:rFonts w:ascii="宋体" w:hAnsi="宋体"/>
          <w:szCs w:val="21"/>
        </w:rPr>
        <w:t>二○二</w:t>
      </w:r>
      <w:r>
        <w:rPr>
          <w:rFonts w:hint="eastAsia" w:ascii="宋体" w:hAnsi="宋体"/>
          <w:szCs w:val="21"/>
        </w:rPr>
        <w:t>四</w:t>
      </w:r>
      <w:r>
        <w:rPr>
          <w:rFonts w:ascii="宋体" w:hAnsi="宋体"/>
          <w:szCs w:val="21"/>
        </w:rPr>
        <w:t>年</w:t>
      </w:r>
      <w:r>
        <w:rPr>
          <w:rFonts w:hint="eastAsia" w:ascii="宋体" w:hAnsi="宋体"/>
          <w:szCs w:val="21"/>
        </w:rPr>
        <w:t>三月十八</w:t>
      </w:r>
      <w:r>
        <w:rPr>
          <w:rFonts w:ascii="宋体" w:hAnsi="宋体"/>
          <w:szCs w:val="21"/>
        </w:rPr>
        <w:t>日</w:t>
      </w:r>
    </w:p>
    <w:p>
      <w:pPr>
        <w:pStyle w:val="19"/>
        <w:wordWrap w:val="0"/>
        <w:spacing w:line="380" w:lineRule="exact"/>
        <w:ind w:right="105" w:firstLine="0"/>
        <w:jc w:val="right"/>
        <w:rPr>
          <w:rFonts w:ascii="Times New Roman" w:hAnsi="Times New Roman"/>
          <w:color w:val="FF0000"/>
          <w:sz w:val="21"/>
        </w:rPr>
      </w:pPr>
    </w:p>
    <w:p>
      <w:pPr>
        <w:spacing w:line="380" w:lineRule="exact"/>
        <w:rPr>
          <w:color w:val="FF0000"/>
        </w:rPr>
        <w:sectPr>
          <w:headerReference r:id="rId3" w:type="default"/>
          <w:footerReference r:id="rId4" w:type="default"/>
          <w:footerReference r:id="rId5" w:type="even"/>
          <w:pgSz w:w="11906" w:h="16838"/>
          <w:pgMar w:top="1440" w:right="1701" w:bottom="779" w:left="1701" w:header="907" w:footer="992" w:gutter="0"/>
          <w:cols w:space="720" w:num="1"/>
          <w:titlePg/>
          <w:docGrid w:type="lines" w:linePitch="312" w:charSpace="0"/>
        </w:sectPr>
      </w:pPr>
    </w:p>
    <w:p>
      <w:pPr>
        <w:spacing w:line="400" w:lineRule="exact"/>
        <w:ind w:firstLine="1440" w:firstLineChars="200"/>
        <w:rPr>
          <w:rFonts w:hint="eastAsia" w:ascii="华文新魏" w:eastAsia="华文新魏"/>
          <w:color w:val="FF0000"/>
          <w:sz w:val="72"/>
          <w:szCs w:val="72"/>
        </w:rPr>
      </w:pPr>
      <w:bookmarkStart w:id="3" w:name="_Toc184089356"/>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p>
    <w:p>
      <w:pPr>
        <w:spacing w:line="400" w:lineRule="exact"/>
        <w:ind w:firstLine="1440" w:firstLineChars="200"/>
        <w:rPr>
          <w:rFonts w:hint="eastAsia" w:ascii="华文新魏" w:eastAsia="华文新魏"/>
          <w:color w:val="FF0000"/>
          <w:sz w:val="72"/>
          <w:szCs w:val="72"/>
        </w:rPr>
      </w:pPr>
      <w:r>
        <w:rPr>
          <w:rFonts w:ascii="华文新魏" w:eastAsia="华文新魏"/>
          <w:color w:val="FF0000"/>
          <w:sz w:val="72"/>
          <w:szCs w:val="72"/>
        </w:rPr>
        <w:br w:type="page"/>
      </w:r>
    </w:p>
    <w:p>
      <w:pPr>
        <w:spacing w:line="400" w:lineRule="exact"/>
        <w:ind w:firstLine="1440" w:firstLineChars="200"/>
        <w:rPr>
          <w:rFonts w:hint="eastAsia" w:ascii="华文新魏" w:eastAsia="华文新魏"/>
          <w:color w:val="FF0000"/>
          <w:sz w:val="72"/>
          <w:szCs w:val="72"/>
        </w:rPr>
      </w:pPr>
    </w:p>
    <w:p>
      <w:pPr>
        <w:pStyle w:val="2"/>
        <w:spacing w:after="0" w:line="576" w:lineRule="auto"/>
        <w:jc w:val="center"/>
        <w:rPr>
          <w:rFonts w:ascii="华文新魏" w:eastAsia="华文新魏"/>
          <w:sz w:val="72"/>
          <w:szCs w:val="72"/>
        </w:rPr>
      </w:pPr>
      <w:bookmarkStart w:id="4" w:name="_Toc161306866"/>
      <w:r>
        <w:rPr>
          <w:rFonts w:hint="eastAsia" w:ascii="华文新魏" w:eastAsia="华文新魏"/>
          <w:sz w:val="72"/>
          <w:szCs w:val="72"/>
        </w:rPr>
        <w:t>第二章</w:t>
      </w:r>
      <w:bookmarkStart w:id="5" w:name="Fivexiangmuyaoqiu5"/>
      <w:bookmarkEnd w:id="5"/>
      <w:bookmarkStart w:id="6" w:name="chapter55"/>
      <w:bookmarkEnd w:id="6"/>
      <w:r>
        <w:rPr>
          <w:rFonts w:hint="eastAsia" w:ascii="华文新魏" w:eastAsia="华文新魏"/>
          <w:sz w:val="72"/>
          <w:szCs w:val="72"/>
        </w:rPr>
        <w:t xml:space="preserve"> 项目要求</w:t>
      </w:r>
      <w:bookmarkEnd w:id="3"/>
      <w:bookmarkEnd w:id="4"/>
    </w:p>
    <w:p>
      <w:pPr>
        <w:jc w:val="center"/>
        <w:rPr>
          <w:rFonts w:ascii="仿宋_GB2312" w:hAnsi="华文细黑" w:eastAsia="仿宋_GB2312"/>
          <w:b/>
          <w:bCs/>
          <w:sz w:val="28"/>
          <w:szCs w:val="28"/>
        </w:rPr>
      </w:pPr>
      <w:r>
        <w:rPr>
          <w:rFonts w:hint="eastAsia" w:ascii="仿宋_GB2312" w:hAnsi="华文细黑" w:eastAsia="仿宋_GB2312"/>
          <w:b/>
          <w:bCs/>
          <w:sz w:val="28"/>
          <w:szCs w:val="28"/>
        </w:rPr>
        <w:t>须 知</w:t>
      </w:r>
    </w:p>
    <w:p>
      <w:pPr>
        <w:ind w:firstLine="3132" w:firstLineChars="1300"/>
        <w:rPr>
          <w:rFonts w:ascii="仿宋_GB2312" w:hAnsi="华文细黑" w:eastAsia="仿宋_GB2312"/>
          <w:b/>
          <w:bCs/>
          <w:sz w:val="24"/>
        </w:rPr>
      </w:pPr>
    </w:p>
    <w:p>
      <w:pPr>
        <w:spacing w:line="360" w:lineRule="auto"/>
        <w:ind w:firstLine="482" w:firstLineChars="200"/>
        <w:rPr>
          <w:rFonts w:hint="eastAsia" w:ascii="仿宋_GB2312" w:hAnsi="华文细黑" w:eastAsia="仿宋_GB2312"/>
          <w:b/>
          <w:bCs/>
          <w:sz w:val="24"/>
        </w:rPr>
      </w:pPr>
      <w:bookmarkStart w:id="7" w:name="Fivexiangmu6"/>
      <w:bookmarkEnd w:id="7"/>
      <w:r>
        <w:rPr>
          <w:rFonts w:hint="eastAsia" w:ascii="仿宋_GB2312" w:hAnsi="华文细黑" w:eastAsia="仿宋_GB2312"/>
          <w:b/>
          <w:bCs/>
          <w:sz w:val="24"/>
        </w:rPr>
        <w:t>1.本章节中所有条款之要求为本次磋商项目的具体要求，供应商必须逐条对照进行答复。</w:t>
      </w:r>
    </w:p>
    <w:p>
      <w:pPr>
        <w:spacing w:line="360" w:lineRule="auto"/>
        <w:ind w:firstLine="482" w:firstLineChars="200"/>
        <w:rPr>
          <w:rFonts w:ascii="仿宋_GB2312" w:hAnsi="华文细黑" w:eastAsia="仿宋_GB2312"/>
          <w:b/>
          <w:bCs/>
          <w:sz w:val="24"/>
        </w:rPr>
      </w:pPr>
      <w:r>
        <w:rPr>
          <w:rFonts w:hint="eastAsia" w:ascii="仿宋_GB2312" w:hAnsi="华文细黑" w:eastAsia="仿宋_GB2312"/>
          <w:b/>
          <w:bCs/>
          <w:sz w:val="24"/>
        </w:rPr>
        <w:t>2.供应商须满足本项目的资格要求（磋商应答文件须提供相关资格证明文件），否则按磋商应答无效处理。</w:t>
      </w:r>
    </w:p>
    <w:p>
      <w:pPr>
        <w:spacing w:line="360" w:lineRule="auto"/>
        <w:ind w:firstLine="482" w:firstLineChars="200"/>
        <w:rPr>
          <w:rFonts w:hint="eastAsia" w:ascii="仿宋_GB2312" w:hAnsi="华文细黑" w:eastAsia="仿宋_GB2312"/>
          <w:b/>
          <w:bCs/>
          <w:sz w:val="24"/>
        </w:rPr>
      </w:pPr>
      <w:r>
        <w:rPr>
          <w:rFonts w:hint="eastAsia" w:ascii="仿宋_GB2312" w:hAnsi="华文细黑" w:eastAsia="仿宋_GB2312"/>
          <w:b/>
          <w:bCs/>
          <w:sz w:val="24"/>
        </w:rPr>
        <w:t>3.在商务要求和技术要求中，凡标注（"★"）号的条款为重要之商务或技术要求，磋商应答文件中对标注（"★"）号的重要条款不响应或任何的不满足（负偏离），将导致磋商应答无效。</w:t>
      </w:r>
    </w:p>
    <w:p>
      <w:pPr>
        <w:spacing w:line="400" w:lineRule="exact"/>
        <w:ind w:firstLine="482" w:firstLineChars="200"/>
        <w:rPr>
          <w:rFonts w:hint="eastAsia" w:ascii="仿宋_GB2312" w:eastAsia="仿宋_GB2312"/>
          <w:b/>
          <w:bCs/>
          <w:color w:val="FF0000"/>
          <w:sz w:val="24"/>
        </w:rPr>
      </w:pPr>
    </w:p>
    <w:p>
      <w:pPr>
        <w:spacing w:line="400" w:lineRule="exact"/>
        <w:ind w:firstLine="482" w:firstLineChars="200"/>
        <w:rPr>
          <w:rFonts w:ascii="仿宋_GB2312" w:eastAsia="仿宋_GB2312"/>
          <w:b/>
          <w:bCs/>
          <w:color w:val="FF0000"/>
          <w:sz w:val="24"/>
        </w:rPr>
      </w:pPr>
    </w:p>
    <w:p>
      <w:pPr>
        <w:pStyle w:val="3"/>
        <w:tabs>
          <w:tab w:val="left" w:pos="284"/>
        </w:tabs>
        <w:spacing w:before="0" w:after="0" w:line="360" w:lineRule="auto"/>
        <w:rPr>
          <w:rFonts w:ascii="黑体" w:hAnsi="黑体"/>
          <w:b w:val="0"/>
        </w:rPr>
      </w:pPr>
      <w:bookmarkStart w:id="8" w:name="sixxiangmugaisu"/>
      <w:bookmarkEnd w:id="8"/>
      <w:bookmarkStart w:id="9" w:name="_Toc315854981"/>
      <w:r>
        <w:rPr>
          <w:rFonts w:ascii="黑体" w:hAnsi="黑体"/>
          <w:color w:val="FF0000"/>
        </w:rPr>
        <w:br w:type="page"/>
      </w:r>
      <w:bookmarkStart w:id="10" w:name="_Toc161306867"/>
      <w:r>
        <w:rPr>
          <w:rFonts w:hint="eastAsia" w:ascii="黑体" w:hAnsi="黑体"/>
        </w:rPr>
        <w:t>一、项目概述</w:t>
      </w:r>
      <w:bookmarkEnd w:id="9"/>
      <w:bookmarkEnd w:id="10"/>
    </w:p>
    <w:p>
      <w:pPr>
        <w:pStyle w:val="43"/>
        <w:widowControl/>
        <w:spacing w:line="360" w:lineRule="auto"/>
        <w:jc w:val="left"/>
        <w:rPr>
          <w:rFonts w:hint="eastAsia" w:ascii="宋体" w:hAnsi="宋体" w:cs="宋体"/>
          <w:kern w:val="0"/>
          <w:szCs w:val="21"/>
          <w:lang w:val="zh-CN"/>
        </w:rPr>
      </w:pPr>
      <w:r>
        <w:rPr>
          <w:rFonts w:hint="eastAsia" w:ascii="宋体" w:hAnsi="宋体" w:cs="宋体"/>
          <w:kern w:val="0"/>
          <w:szCs w:val="21"/>
          <w:lang w:val="zh-CN"/>
        </w:rPr>
        <w:t>本项目为</w:t>
      </w:r>
      <w:r>
        <w:rPr>
          <w:rFonts w:hint="eastAsia" w:ascii="宋体" w:hAnsi="宋体" w:cs="宋体"/>
          <w:b/>
          <w:kern w:val="0"/>
          <w:szCs w:val="21"/>
          <w:lang w:val="zh-CN"/>
        </w:rPr>
        <w:t>国家税务总局深圳市罗湖区税务局2024年自助办税终端驻点运维服务项目</w:t>
      </w:r>
      <w:r>
        <w:rPr>
          <w:rFonts w:hint="eastAsia" w:ascii="宋体" w:hAnsi="宋体" w:cs="宋体"/>
          <w:kern w:val="0"/>
          <w:szCs w:val="21"/>
          <w:lang w:val="zh-CN"/>
        </w:rPr>
        <w:t>。</w:t>
      </w:r>
    </w:p>
    <w:p>
      <w:pPr>
        <w:pStyle w:val="43"/>
        <w:widowControl/>
        <w:spacing w:line="360" w:lineRule="auto"/>
        <w:jc w:val="left"/>
        <w:rPr>
          <w:rFonts w:hint="eastAsia" w:ascii="宋体" w:hAnsi="宋体" w:cs="宋体"/>
          <w:kern w:val="0"/>
          <w:szCs w:val="21"/>
          <w:lang w:val="zh-CN"/>
        </w:rPr>
      </w:pPr>
      <w:r>
        <w:rPr>
          <w:rFonts w:hint="eastAsia" w:ascii="宋体" w:hAnsi="宋体" w:cs="宋体"/>
          <w:kern w:val="0"/>
          <w:szCs w:val="21"/>
          <w:lang w:val="zh-CN"/>
        </w:rPr>
        <w:t>自助办税服务终端是国家税务</w:t>
      </w:r>
      <w:bookmarkStart w:id="126" w:name="_GoBack"/>
      <w:bookmarkEnd w:id="126"/>
      <w:r>
        <w:rPr>
          <w:rFonts w:hint="eastAsia" w:ascii="宋体" w:hAnsi="宋体" w:cs="宋体"/>
          <w:kern w:val="0"/>
          <w:szCs w:val="21"/>
          <w:lang w:val="zh-CN"/>
        </w:rPr>
        <w:t>总局深圳市税务局为整合纳税服务资源、完善纳税服务体系,向纳税人提供全天候、全方位服务推出的一种创新业务模式。</w:t>
      </w:r>
    </w:p>
    <w:p>
      <w:pPr>
        <w:pStyle w:val="43"/>
        <w:widowControl/>
        <w:spacing w:line="360" w:lineRule="auto"/>
        <w:jc w:val="left"/>
        <w:rPr>
          <w:rFonts w:hint="eastAsia" w:ascii="宋体" w:hAnsi="宋体" w:cs="宋体"/>
          <w:kern w:val="0"/>
          <w:szCs w:val="21"/>
          <w:lang w:val="zh-CN"/>
        </w:rPr>
      </w:pPr>
      <w:r>
        <w:rPr>
          <w:rFonts w:hint="eastAsia" w:ascii="宋体" w:hAnsi="宋体" w:cs="宋体"/>
          <w:kern w:val="0"/>
          <w:szCs w:val="21"/>
          <w:lang w:val="zh-CN"/>
        </w:rPr>
        <w:t>国家税务总局深圳市罗湖区税务局在2013年开始应用ATS自助办税服务系统，至今投入6</w:t>
      </w:r>
      <w:r>
        <w:rPr>
          <w:rFonts w:ascii="宋体" w:hAnsi="宋体" w:cs="宋体"/>
          <w:kern w:val="0"/>
          <w:szCs w:val="21"/>
          <w:lang w:val="zh-CN"/>
        </w:rPr>
        <w:t>7</w:t>
      </w:r>
      <w:r>
        <w:rPr>
          <w:rFonts w:hint="eastAsia" w:ascii="宋体" w:hAnsi="宋体" w:cs="宋体"/>
          <w:kern w:val="0"/>
          <w:szCs w:val="21"/>
          <w:lang w:val="zh-CN"/>
        </w:rPr>
        <w:t>台自助办税服务终端，现运行终端</w:t>
      </w:r>
      <w:r>
        <w:rPr>
          <w:rFonts w:ascii="宋体" w:hAnsi="宋体" w:cs="宋体"/>
          <w:kern w:val="0"/>
          <w:szCs w:val="21"/>
          <w:lang w:val="zh-CN"/>
        </w:rPr>
        <w:t>30</w:t>
      </w:r>
      <w:r>
        <w:rPr>
          <w:rFonts w:hint="eastAsia" w:ascii="宋体" w:hAnsi="宋体" w:cs="宋体"/>
          <w:kern w:val="0"/>
          <w:szCs w:val="21"/>
          <w:lang w:val="zh-CN"/>
        </w:rPr>
        <w:t>台，备用终端</w:t>
      </w:r>
      <w:r>
        <w:rPr>
          <w:rFonts w:ascii="宋体" w:hAnsi="宋体" w:cs="宋体"/>
          <w:kern w:val="0"/>
          <w:szCs w:val="21"/>
          <w:lang w:val="zh-CN"/>
        </w:rPr>
        <w:t>11</w:t>
      </w:r>
      <w:r>
        <w:rPr>
          <w:rFonts w:hint="eastAsia" w:ascii="宋体" w:hAnsi="宋体" w:cs="宋体"/>
          <w:kern w:val="0"/>
          <w:szCs w:val="21"/>
          <w:lang w:val="zh-CN"/>
        </w:rPr>
        <w:t>台，自助代开发票终端</w:t>
      </w:r>
      <w:r>
        <w:rPr>
          <w:rFonts w:ascii="宋体" w:hAnsi="宋体" w:cs="宋体"/>
          <w:kern w:val="0"/>
          <w:szCs w:val="21"/>
          <w:lang w:val="zh-CN"/>
        </w:rPr>
        <w:t>23</w:t>
      </w:r>
      <w:r>
        <w:rPr>
          <w:rFonts w:hint="eastAsia" w:ascii="宋体" w:hAnsi="宋体" w:cs="宋体"/>
          <w:kern w:val="0"/>
          <w:szCs w:val="21"/>
          <w:lang w:val="zh-CN"/>
        </w:rPr>
        <w:t>台、自助发售终端</w:t>
      </w:r>
      <w:r>
        <w:rPr>
          <w:rFonts w:ascii="宋体" w:hAnsi="宋体" w:cs="宋体"/>
          <w:kern w:val="0"/>
          <w:szCs w:val="21"/>
          <w:lang w:val="zh-CN"/>
        </w:rPr>
        <w:t>4</w:t>
      </w:r>
      <w:r>
        <w:rPr>
          <w:rFonts w:hint="eastAsia" w:ascii="宋体" w:hAnsi="宋体" w:cs="宋体"/>
          <w:kern w:val="0"/>
          <w:szCs w:val="21"/>
          <w:lang w:val="zh-CN"/>
        </w:rPr>
        <w:t>台、其他设备3台。为确保自助办税服务终端持续稳定运行以及充分提升设备各项功能使用率，为纳税人创建规范、高效、优质服务，特为自助办税终端提供驻点运维服务体系。</w:t>
      </w:r>
    </w:p>
    <w:p>
      <w:pPr>
        <w:snapToGrid w:val="0"/>
        <w:spacing w:line="360" w:lineRule="auto"/>
        <w:ind w:firstLine="420" w:firstLineChars="200"/>
        <w:rPr>
          <w:rFonts w:hint="eastAsia" w:ascii="宋体" w:hAnsi="宋体" w:cs="宋体"/>
          <w:kern w:val="0"/>
          <w:szCs w:val="21"/>
          <w:lang w:val="zh-CN"/>
        </w:rPr>
      </w:pPr>
      <w:r>
        <w:rPr>
          <w:rFonts w:hint="eastAsia" w:ascii="宋体" w:hAnsi="宋体" w:cs="宋体"/>
          <w:kern w:val="0"/>
          <w:szCs w:val="21"/>
          <w:lang w:val="zh-CN"/>
        </w:rPr>
        <w:t>为进一步落实办税服务厅“安静工程”，全面落实细化实施市局关于电子办税、转办单、实名办税、微信代开、自助办税等便民措施，确保电子办税与前台服务无缝衔接，有效实现纳税人“多走网路、少走马路”的迫切愿望，缓解大厅工作人员的咨询压力。持续大力推广自助办税业务，提升区局自助办税效率，我局拟定引荐第三方技术服务人员为自助办税终端保障服务做补充。</w:t>
      </w:r>
    </w:p>
    <w:p>
      <w:pPr>
        <w:snapToGrid w:val="0"/>
        <w:spacing w:line="360" w:lineRule="auto"/>
        <w:ind w:firstLine="420" w:firstLineChars="200"/>
        <w:rPr>
          <w:rFonts w:ascii="宋体" w:hAnsi="宋体" w:cs="仿宋_GB2312"/>
          <w:kern w:val="0"/>
          <w:szCs w:val="21"/>
        </w:rPr>
      </w:pPr>
      <w:r>
        <w:rPr>
          <w:rFonts w:hint="eastAsia" w:ascii="宋体" w:hAnsi="宋体" w:cs="仿宋_GB2312"/>
          <w:kern w:val="0"/>
          <w:szCs w:val="21"/>
        </w:rPr>
        <w:t>目前我局对办税服务厅内自助办税终端铺设位置及使用数量、业务量监测数据综合分析，拟定自助办税服务终端驻场运维服务人员需求人数为2名。</w:t>
      </w:r>
    </w:p>
    <w:p>
      <w:pPr>
        <w:pStyle w:val="3"/>
        <w:tabs>
          <w:tab w:val="left" w:pos="284"/>
        </w:tabs>
        <w:spacing w:before="0" w:after="0" w:line="360" w:lineRule="auto"/>
        <w:rPr>
          <w:rFonts w:hint="eastAsia" w:ascii="黑体" w:hAnsi="黑体"/>
        </w:rPr>
      </w:pPr>
      <w:bookmarkStart w:id="11" w:name="_Toc161306868"/>
      <w:r>
        <w:rPr>
          <w:rFonts w:hint="eastAsia" w:ascii="黑体" w:hAnsi="黑体"/>
        </w:rPr>
        <w:t>二、★供应商（投标人）资格要求</w:t>
      </w:r>
      <w:bookmarkEnd w:id="11"/>
    </w:p>
    <w:p>
      <w:pPr>
        <w:spacing w:after="62" w:afterLines="20" w:line="360" w:lineRule="auto"/>
        <w:ind w:firstLine="420" w:firstLineChars="200"/>
        <w:jc w:val="left"/>
      </w:pPr>
      <w:r>
        <w:rPr>
          <w:rFonts w:hint="eastAsia"/>
        </w:rPr>
        <w:t xml:space="preserve">  </w:t>
      </w:r>
      <w:r>
        <w:rPr>
          <w:rFonts w:hint="eastAsia" w:ascii="宋体" w:hAnsi="宋体"/>
          <w:szCs w:val="21"/>
        </w:rPr>
        <w:t>供应商</w:t>
      </w:r>
      <w:r>
        <w:rPr>
          <w:rFonts w:hint="eastAsia"/>
        </w:rPr>
        <w:t>编制的磋商应答文件中须包含以下资格证明文件（</w:t>
      </w:r>
      <w:r>
        <w:rPr>
          <w:rFonts w:hint="eastAsia" w:ascii="宋体" w:hAnsi="宋体"/>
          <w:b/>
          <w:szCs w:val="20"/>
        </w:rPr>
        <w:t>复印件盖公章，原件备查</w:t>
      </w:r>
      <w:r>
        <w:rPr>
          <w:rFonts w:hint="eastAsia"/>
        </w:rPr>
        <w:t>）：</w:t>
      </w:r>
    </w:p>
    <w:p>
      <w:pPr>
        <w:numPr>
          <w:ilvl w:val="0"/>
          <w:numId w:val="2"/>
        </w:numPr>
        <w:tabs>
          <w:tab w:val="left" w:pos="993"/>
          <w:tab w:val="clear" w:pos="1410"/>
        </w:tabs>
        <w:spacing w:line="360" w:lineRule="auto"/>
        <w:ind w:left="993" w:hanging="284"/>
        <w:rPr>
          <w:rFonts w:hint="eastAsia" w:ascii="宋体" w:hAnsi="宋体"/>
          <w:szCs w:val="21"/>
        </w:rPr>
      </w:pPr>
      <w:r>
        <w:rPr>
          <w:rFonts w:hint="eastAsia" w:ascii="宋体" w:hAnsi="宋体"/>
          <w:szCs w:val="21"/>
        </w:rPr>
        <w:t>供应商必须是在中华人民共和国境内注册的具有独立承担民事责任能力的法人或其他组织。提供营业执照（或事业单位法人证书，或社会团体法人登记证书，或执业许可证等证明文件）复印件。</w:t>
      </w:r>
    </w:p>
    <w:p>
      <w:pPr>
        <w:numPr>
          <w:ilvl w:val="0"/>
          <w:numId w:val="2"/>
        </w:numPr>
        <w:tabs>
          <w:tab w:val="left" w:pos="993"/>
          <w:tab w:val="clear" w:pos="1410"/>
        </w:tabs>
        <w:spacing w:line="360" w:lineRule="auto"/>
        <w:ind w:left="993" w:hanging="284"/>
        <w:rPr>
          <w:rFonts w:hint="eastAsia" w:ascii="宋体" w:hAnsi="宋体"/>
          <w:szCs w:val="21"/>
        </w:rPr>
      </w:pPr>
      <w:r>
        <w:rPr>
          <w:rFonts w:hint="eastAsia" w:ascii="宋体" w:hAnsi="宋体"/>
          <w:szCs w:val="21"/>
        </w:rPr>
        <w:t>供应商需提供《磋商邀请函》。</w:t>
      </w:r>
    </w:p>
    <w:p>
      <w:pPr>
        <w:numPr>
          <w:ilvl w:val="0"/>
          <w:numId w:val="2"/>
        </w:numPr>
        <w:tabs>
          <w:tab w:val="left" w:pos="993"/>
          <w:tab w:val="clear" w:pos="1410"/>
        </w:tabs>
        <w:spacing w:line="360" w:lineRule="auto"/>
        <w:ind w:left="993" w:hanging="284"/>
        <w:rPr>
          <w:rFonts w:hint="eastAsia" w:ascii="宋体" w:hAnsi="宋体" w:cs="宋体"/>
          <w:kern w:val="0"/>
          <w:szCs w:val="21"/>
        </w:rPr>
      </w:pPr>
      <w:r>
        <w:rPr>
          <w:rFonts w:hint="eastAsia" w:ascii="宋体" w:hAnsi="宋体" w:cs="宋体"/>
          <w:kern w:val="0"/>
          <w:szCs w:val="21"/>
        </w:rPr>
        <w:t>供应商在“信用中国”网站（www.creditchina.gov.cn）和中国政府采购网（www.ccgp.gov.cn）不能存在不良信用记录的，否则将拒绝其参加本次磋商活动。</w:t>
      </w:r>
    </w:p>
    <w:p>
      <w:pPr>
        <w:numPr>
          <w:ilvl w:val="0"/>
          <w:numId w:val="2"/>
        </w:numPr>
        <w:tabs>
          <w:tab w:val="left" w:pos="993"/>
          <w:tab w:val="clear" w:pos="1410"/>
        </w:tabs>
        <w:spacing w:line="360" w:lineRule="auto"/>
        <w:ind w:left="993" w:hanging="284"/>
        <w:rPr>
          <w:rFonts w:hint="eastAsia" w:ascii="宋体" w:hAnsi="宋体"/>
          <w:szCs w:val="21"/>
        </w:rPr>
      </w:pPr>
      <w:r>
        <w:rPr>
          <w:rFonts w:hint="eastAsia" w:ascii="宋体" w:hAnsi="宋体" w:cs="宋体"/>
          <w:kern w:val="0"/>
          <w:szCs w:val="21"/>
        </w:rPr>
        <w:t>参与本项目投标前三年内，在经营活动中没有重大违法记录和参与本项目政府采购活动时不存在被政府主管部门禁止参与政府采购活动且在有效期内的情况（由供应商在《政府采购投标及履约承诺函》中作出声明）。</w:t>
      </w:r>
    </w:p>
    <w:p>
      <w:pPr>
        <w:numPr>
          <w:ilvl w:val="0"/>
          <w:numId w:val="2"/>
        </w:numPr>
        <w:tabs>
          <w:tab w:val="left" w:pos="993"/>
          <w:tab w:val="clear" w:pos="1410"/>
        </w:tabs>
        <w:spacing w:line="360" w:lineRule="auto"/>
        <w:ind w:left="993" w:hanging="284"/>
        <w:rPr>
          <w:rFonts w:hint="eastAsia" w:ascii="宋体" w:hAnsi="宋体"/>
          <w:szCs w:val="21"/>
        </w:rPr>
      </w:pPr>
      <w:r>
        <w:rPr>
          <w:rFonts w:ascii="宋体" w:hAnsi="宋体" w:cs="宋体"/>
          <w:kern w:val="0"/>
          <w:szCs w:val="21"/>
        </w:rPr>
        <w:t>参与本项目的供应商</w:t>
      </w:r>
      <w:r>
        <w:rPr>
          <w:rFonts w:hint="eastAsia" w:ascii="宋体" w:hAnsi="宋体" w:cs="宋体"/>
          <w:kern w:val="0"/>
          <w:szCs w:val="21"/>
        </w:rPr>
        <w:t>具备《中华人民共和国政府采购法》第二十二条第一款的条件（由供应商在《政府采购投标及履约承诺函》中作出声明）。</w:t>
      </w:r>
    </w:p>
    <w:p>
      <w:pPr>
        <w:numPr>
          <w:ilvl w:val="0"/>
          <w:numId w:val="2"/>
        </w:numPr>
        <w:tabs>
          <w:tab w:val="left" w:pos="993"/>
          <w:tab w:val="clear" w:pos="1410"/>
        </w:tabs>
        <w:spacing w:line="360" w:lineRule="auto"/>
        <w:ind w:left="993" w:hanging="284"/>
        <w:rPr>
          <w:rFonts w:hint="eastAsia" w:ascii="宋体" w:hAnsi="宋体"/>
          <w:szCs w:val="21"/>
        </w:rPr>
      </w:pPr>
      <w:r>
        <w:rPr>
          <w:rFonts w:hint="eastAsia" w:ascii="宋体" w:hAnsi="宋体" w:cs="宋体"/>
          <w:kern w:val="0"/>
          <w:szCs w:val="21"/>
        </w:rPr>
        <w:t>参与政府采购项目投标的供应商未被列入失信被执行人、重大税收违法案件当事人名单、政府采购严重违法失信行为记录名单（由供应商在《政府采购投标及履约承诺函》中作出声明）。</w:t>
      </w:r>
    </w:p>
    <w:p>
      <w:pPr>
        <w:numPr>
          <w:ilvl w:val="0"/>
          <w:numId w:val="2"/>
        </w:numPr>
        <w:tabs>
          <w:tab w:val="left" w:pos="993"/>
          <w:tab w:val="clear" w:pos="1410"/>
        </w:tabs>
        <w:spacing w:after="62" w:afterLines="20" w:line="360" w:lineRule="auto"/>
        <w:ind w:left="993" w:hanging="284"/>
        <w:rPr>
          <w:rFonts w:hint="eastAsia" w:ascii="宋体" w:hAnsi="宋体" w:cs="宋体"/>
          <w:kern w:val="0"/>
          <w:szCs w:val="21"/>
        </w:rPr>
      </w:pPr>
      <w:r>
        <w:rPr>
          <w:rFonts w:hint="eastAsia"/>
          <w:spacing w:val="-5"/>
          <w:szCs w:val="21"/>
        </w:rPr>
        <w:t>本项目不接受联合体投标。</w:t>
      </w:r>
    </w:p>
    <w:p>
      <w:pPr>
        <w:pStyle w:val="3"/>
        <w:tabs>
          <w:tab w:val="left" w:pos="284"/>
        </w:tabs>
        <w:spacing w:before="0" w:after="0" w:line="360" w:lineRule="auto"/>
        <w:rPr>
          <w:rFonts w:ascii="黑体" w:hAnsi="黑体"/>
        </w:rPr>
      </w:pPr>
      <w:bookmarkStart w:id="12" w:name="_Toc161306869"/>
      <w:bookmarkStart w:id="13" w:name="_Toc184089359"/>
      <w:r>
        <w:rPr>
          <w:rFonts w:hint="eastAsia" w:ascii="黑体" w:hAnsi="黑体"/>
        </w:rPr>
        <w:t>三、</w:t>
      </w:r>
      <w:bookmarkStart w:id="14" w:name="商务要求"/>
      <w:bookmarkEnd w:id="14"/>
      <w:r>
        <w:rPr>
          <w:rFonts w:hint="eastAsia" w:ascii="黑体" w:hAnsi="黑体"/>
        </w:rPr>
        <w:t>投标报价</w:t>
      </w:r>
      <w:bookmarkEnd w:id="12"/>
    </w:p>
    <w:bookmarkEnd w:id="13"/>
    <w:p>
      <w:pPr>
        <w:numPr>
          <w:ilvl w:val="0"/>
          <w:numId w:val="3"/>
        </w:numPr>
        <w:spacing w:after="62" w:afterLines="20" w:line="360" w:lineRule="auto"/>
        <w:ind w:left="851"/>
        <w:rPr>
          <w:rFonts w:hint="eastAsia"/>
        </w:rPr>
      </w:pPr>
      <w:bookmarkStart w:id="15" w:name="Fivetoubiaobaojia6"/>
      <w:bookmarkEnd w:id="15"/>
      <w:r>
        <w:rPr>
          <w:rFonts w:hAnsi="宋体"/>
        </w:rPr>
        <w:t>本项目服务费采用包干制，应包括服务成本、法定税费和企业的利润。由企业根据磋商文件所提供的资料自行测算投标报价；一经中标，投标报价总价作为中标单位与采购单位签订的合同金额，合同期限内不做调整</w:t>
      </w:r>
      <w:r>
        <w:t>。</w:t>
      </w:r>
    </w:p>
    <w:p>
      <w:pPr>
        <w:numPr>
          <w:ilvl w:val="0"/>
          <w:numId w:val="3"/>
        </w:numPr>
        <w:spacing w:after="62" w:afterLines="20" w:line="360" w:lineRule="auto"/>
        <w:ind w:left="851"/>
        <w:rPr>
          <w:rFonts w:hint="eastAsia" w:ascii="宋体" w:hAnsi="宋体" w:cs="Arial"/>
          <w:szCs w:val="21"/>
        </w:rPr>
      </w:pPr>
      <w:r>
        <w:rPr>
          <w:rFonts w:hint="eastAsia" w:ascii="宋体" w:hAnsi="宋体"/>
          <w:szCs w:val="21"/>
        </w:rPr>
        <w:t>投标人应根据本企业的成本自行决定报价，但不得以低于其企业成本的报价投标。</w:t>
      </w:r>
      <w:r>
        <w:rPr>
          <w:rFonts w:hint="eastAsia" w:hAnsi="宋体"/>
          <w:b/>
          <w:szCs w:val="21"/>
        </w:rPr>
        <w:t>根据《政府采购货物和服务招标投标管理办法》（财政部令第87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投标人不能证明其报价合理性的，评标委员会应当将其作为无效投标处理。</w:t>
      </w:r>
    </w:p>
    <w:p>
      <w:pPr>
        <w:numPr>
          <w:ilvl w:val="0"/>
          <w:numId w:val="3"/>
        </w:numPr>
        <w:spacing w:after="62" w:afterLines="20" w:line="360" w:lineRule="auto"/>
        <w:ind w:left="851"/>
        <w:rPr>
          <w:rFonts w:hint="eastAsia" w:ascii="宋体" w:hAnsi="宋体"/>
          <w:szCs w:val="21"/>
        </w:rPr>
      </w:pPr>
      <w:r>
        <w:rPr>
          <w:rFonts w:hint="eastAsia" w:ascii="宋体" w:hAnsi="宋体"/>
          <w:szCs w:val="21"/>
        </w:rPr>
        <w:t>投标人对每项服务的报价必须是唯一的。采购人不接受有任何选择的报价。</w:t>
      </w:r>
    </w:p>
    <w:p>
      <w:pPr>
        <w:numPr>
          <w:ilvl w:val="0"/>
          <w:numId w:val="3"/>
        </w:numPr>
        <w:spacing w:after="62" w:afterLines="20" w:line="360" w:lineRule="auto"/>
        <w:ind w:left="851"/>
        <w:rPr>
          <w:rFonts w:hint="eastAsia" w:ascii="宋体" w:hAnsi="宋体"/>
          <w:szCs w:val="21"/>
        </w:rPr>
      </w:pPr>
      <w:r>
        <w:rPr>
          <w:rFonts w:hint="eastAsia" w:ascii="宋体" w:hAnsi="宋体"/>
          <w:szCs w:val="21"/>
        </w:rPr>
        <w:t>投标人的投标报价，应是本项目招标范围和磋商文件及合同条款上所列的各项内容中所述的全部，不得以任何理由予以重复，并以投标人在投标文件中提出的综合单价或总价为依据。</w:t>
      </w:r>
    </w:p>
    <w:p>
      <w:pPr>
        <w:numPr>
          <w:ilvl w:val="0"/>
          <w:numId w:val="3"/>
        </w:numPr>
        <w:spacing w:after="62" w:afterLines="20" w:line="360" w:lineRule="auto"/>
        <w:ind w:left="851"/>
        <w:rPr>
          <w:rFonts w:hint="eastAsia" w:ascii="宋体" w:hAnsi="宋体"/>
          <w:szCs w:val="21"/>
        </w:rPr>
      </w:pPr>
      <w:r>
        <w:t>除非</w:t>
      </w:r>
      <w:r>
        <w:rPr>
          <w:rFonts w:hint="eastAsia"/>
        </w:rPr>
        <w:t>采购代理</w:t>
      </w:r>
      <w:r>
        <w:t>机构通过修改磋商文件予以更正，否则，投标人应毫无例外地按磋商文件所列的清单中项目和数量填报综合单价和合价。投标人未填综合单价或合价的项目，在实施后，将不得以支付，并视作该项费用已包括在其它有价款的综合单价或合价内</w:t>
      </w:r>
      <w:r>
        <w:rPr>
          <w:rFonts w:hint="eastAsia"/>
        </w:rPr>
        <w:t>。</w:t>
      </w:r>
    </w:p>
    <w:p>
      <w:pPr>
        <w:numPr>
          <w:ilvl w:val="0"/>
          <w:numId w:val="3"/>
        </w:numPr>
        <w:spacing w:after="62" w:afterLines="20" w:line="360" w:lineRule="auto"/>
        <w:ind w:left="851"/>
        <w:rPr>
          <w:rFonts w:hint="eastAsia"/>
        </w:rPr>
      </w:pPr>
      <w:r>
        <w:rPr>
          <w:rFonts w:hint="eastAsia"/>
        </w:rPr>
        <w:t>投标人应充分了解项目的位置、情况、道路及任何其它足以影响投标报价的情况，任何因忽视或误解项目情况而导致的索赔或服务期限延长申请将不获批准。</w:t>
      </w:r>
    </w:p>
    <w:p>
      <w:pPr>
        <w:numPr>
          <w:ilvl w:val="0"/>
          <w:numId w:val="3"/>
        </w:numPr>
        <w:spacing w:after="62" w:afterLines="20" w:line="360" w:lineRule="auto"/>
        <w:ind w:left="851"/>
        <w:rPr>
          <w:rFonts w:hint="eastAsia" w:ascii="宋体" w:hAnsi="宋体"/>
          <w:szCs w:val="21"/>
        </w:rPr>
      </w:pPr>
      <w:r>
        <w:t>投标人不得期望通过索赔等方式获取补偿，否则，除可能遭到拒绝外，还可能将被作为不良行为记录在案，并可能影响其以后参加政府采购的项目投标。各投标人在投标报价时，应充分考虑投标报价的风险。</w:t>
      </w:r>
    </w:p>
    <w:p>
      <w:pPr>
        <w:numPr>
          <w:ilvl w:val="0"/>
          <w:numId w:val="3"/>
        </w:numPr>
        <w:spacing w:after="62" w:afterLines="20" w:line="360" w:lineRule="auto"/>
        <w:ind w:left="851"/>
        <w:rPr>
          <w:rFonts w:ascii="宋体" w:hAnsi="宋体"/>
          <w:szCs w:val="21"/>
        </w:rPr>
      </w:pPr>
      <w:r>
        <w:rPr>
          <w:rFonts w:hAnsi="宋体"/>
          <w:b/>
          <w:kern w:val="0"/>
          <w:szCs w:val="21"/>
        </w:rPr>
        <w:t>本项目</w:t>
      </w:r>
      <w:r>
        <w:rPr>
          <w:rFonts w:hint="eastAsia" w:hAnsi="宋体"/>
          <w:b/>
          <w:kern w:val="0"/>
          <w:szCs w:val="21"/>
        </w:rPr>
        <w:t>财政</w:t>
      </w:r>
      <w:r>
        <w:rPr>
          <w:rFonts w:hAnsi="宋体"/>
          <w:b/>
          <w:szCs w:val="21"/>
        </w:rPr>
        <w:t>预算金额为</w:t>
      </w:r>
      <w:r>
        <w:rPr>
          <w:rFonts w:hint="eastAsia" w:hAnsi="宋体"/>
          <w:b/>
          <w:szCs w:val="21"/>
        </w:rPr>
        <w:t>人民币贰拾壹万柒仟伍佰元整（¥</w:t>
      </w:r>
      <w:r>
        <w:rPr>
          <w:rFonts w:hAnsi="宋体"/>
          <w:b/>
          <w:szCs w:val="21"/>
        </w:rPr>
        <w:t>217,500.00</w:t>
      </w:r>
      <w:r>
        <w:rPr>
          <w:rFonts w:hint="eastAsia" w:hAnsi="宋体"/>
          <w:b/>
          <w:szCs w:val="21"/>
        </w:rPr>
        <w:t>）</w:t>
      </w:r>
      <w:r>
        <w:rPr>
          <w:rFonts w:hAnsi="宋体"/>
          <w:b/>
          <w:szCs w:val="21"/>
        </w:rPr>
        <w:t>，投标报价超出预算金额的投标人，其投标文件</w:t>
      </w:r>
      <w:r>
        <w:rPr>
          <w:rFonts w:hint="eastAsia" w:hAnsi="宋体"/>
          <w:b/>
          <w:szCs w:val="21"/>
        </w:rPr>
        <w:t>作</w:t>
      </w:r>
      <w:r>
        <w:rPr>
          <w:rFonts w:hAnsi="宋体"/>
          <w:b/>
          <w:szCs w:val="21"/>
        </w:rPr>
        <w:t>投标无效处理。</w:t>
      </w:r>
    </w:p>
    <w:p>
      <w:pPr>
        <w:pStyle w:val="3"/>
        <w:tabs>
          <w:tab w:val="left" w:pos="284"/>
        </w:tabs>
        <w:spacing w:before="0" w:after="0" w:line="360" w:lineRule="auto"/>
        <w:rPr>
          <w:rFonts w:ascii="黑体" w:hAnsi="黑体"/>
        </w:rPr>
      </w:pPr>
      <w:bookmarkStart w:id="16" w:name="_Toc161306870"/>
      <w:r>
        <w:rPr>
          <w:rFonts w:hint="eastAsia" w:ascii="黑体" w:hAnsi="黑体"/>
        </w:rPr>
        <w:t>四、商务要求</w:t>
      </w:r>
      <w:bookmarkEnd w:id="16"/>
    </w:p>
    <w:p>
      <w:pPr>
        <w:pStyle w:val="4"/>
        <w:spacing w:before="0" w:after="0" w:line="360" w:lineRule="auto"/>
        <w:rPr>
          <w:rFonts w:hAnsi="宋体"/>
          <w:sz w:val="28"/>
          <w:szCs w:val="28"/>
        </w:rPr>
      </w:pPr>
      <w:bookmarkStart w:id="17" w:name="付款方法和条件"/>
      <w:bookmarkEnd w:id="17"/>
      <w:bookmarkStart w:id="18" w:name="_Toc161306871"/>
      <w:r>
        <w:rPr>
          <w:rFonts w:hint="eastAsia" w:hAnsi="宋体"/>
          <w:sz w:val="28"/>
          <w:szCs w:val="28"/>
        </w:rPr>
        <w:t>（一）</w:t>
      </w:r>
      <w:r>
        <w:rPr>
          <w:rFonts w:hAnsi="宋体"/>
          <w:sz w:val="28"/>
          <w:szCs w:val="28"/>
        </w:rPr>
        <w:t>服务期限（完成期限）、地点要求:</w:t>
      </w:r>
      <w:bookmarkEnd w:id="18"/>
    </w:p>
    <w:p>
      <w:pPr>
        <w:pStyle w:val="43"/>
        <w:spacing w:after="62" w:afterLines="20" w:line="360" w:lineRule="auto"/>
        <w:ind w:firstLine="211" w:firstLineChars="100"/>
        <w:rPr>
          <w:rFonts w:hint="eastAsia" w:ascii="Times New Roman" w:hAnsi="宋体"/>
          <w:kern w:val="0"/>
          <w:szCs w:val="21"/>
        </w:rPr>
      </w:pPr>
      <w:r>
        <w:rPr>
          <w:rFonts w:ascii="宋体" w:hAnsi="宋体"/>
          <w:b/>
          <w:szCs w:val="21"/>
        </w:rPr>
        <w:t>★</w:t>
      </w:r>
      <w:r>
        <w:rPr>
          <w:rFonts w:ascii="Times New Roman" w:hAnsi="Times New Roman"/>
          <w:b/>
          <w:szCs w:val="21"/>
        </w:rPr>
        <w:t>1</w:t>
      </w:r>
      <w:r>
        <w:rPr>
          <w:rFonts w:hint="eastAsia" w:ascii="Times New Roman" w:hAnsi="宋体"/>
          <w:b/>
          <w:szCs w:val="21"/>
        </w:rPr>
        <w:t>.</w:t>
      </w:r>
      <w:r>
        <w:rPr>
          <w:rFonts w:ascii="Times New Roman" w:hAnsi="宋体"/>
          <w:b/>
          <w:szCs w:val="21"/>
        </w:rPr>
        <w:t>服务期限：</w:t>
      </w:r>
      <w:r>
        <w:rPr>
          <w:rFonts w:hint="eastAsia" w:ascii="Times New Roman" w:hAnsi="宋体"/>
          <w:kern w:val="0"/>
          <w:szCs w:val="21"/>
        </w:rPr>
        <w:t>2024年4月1日至2024年12月31日，共计9个月</w:t>
      </w:r>
      <w:r>
        <w:rPr>
          <w:rFonts w:ascii="Times New Roman" w:hAnsi="宋体"/>
          <w:kern w:val="0"/>
          <w:szCs w:val="21"/>
        </w:rPr>
        <w:t>。</w:t>
      </w:r>
    </w:p>
    <w:p>
      <w:pPr>
        <w:pStyle w:val="43"/>
        <w:spacing w:after="62" w:afterLines="20" w:line="360" w:lineRule="auto"/>
        <w:ind w:firstLineChars="0"/>
        <w:rPr>
          <w:rFonts w:ascii="Times New Roman" w:hAnsi="宋体"/>
          <w:kern w:val="0"/>
          <w:szCs w:val="21"/>
        </w:rPr>
      </w:pPr>
      <w:r>
        <w:rPr>
          <w:rFonts w:hint="eastAsia" w:ascii="Times New Roman" w:hAnsi="Times New Roman"/>
          <w:b/>
          <w:szCs w:val="21"/>
        </w:rPr>
        <w:t>2</w:t>
      </w:r>
      <w:r>
        <w:rPr>
          <w:rFonts w:hint="eastAsia" w:ascii="Times New Roman" w:hAnsi="宋体"/>
          <w:b/>
          <w:szCs w:val="21"/>
        </w:rPr>
        <w:t>.</w:t>
      </w:r>
      <w:r>
        <w:rPr>
          <w:rFonts w:ascii="Times New Roman" w:hAnsi="宋体"/>
          <w:b/>
          <w:szCs w:val="21"/>
        </w:rPr>
        <w:t>服务地点：</w:t>
      </w:r>
      <w:r>
        <w:rPr>
          <w:rFonts w:hint="eastAsia" w:ascii="Times New Roman" w:hAnsi="宋体"/>
          <w:kern w:val="0"/>
          <w:szCs w:val="21"/>
        </w:rPr>
        <w:t>工作地点主要设在蜜园路办税服务厅自助代开发票办税区，自助办税终端若放置在其他地区的，驻场服务人员需同样进行维护服务。</w:t>
      </w:r>
      <w:r>
        <w:rPr>
          <w:rFonts w:hint="eastAsia" w:hAnsi="宋体"/>
          <w:kern w:val="0"/>
          <w:szCs w:val="21"/>
        </w:rPr>
        <w:t>如后续区局办公区发生变动，工作地点也做相应变动。</w:t>
      </w:r>
    </w:p>
    <w:p>
      <w:pPr>
        <w:pStyle w:val="4"/>
        <w:spacing w:before="0" w:after="0" w:line="360" w:lineRule="auto"/>
        <w:rPr>
          <w:rFonts w:hAnsi="宋体"/>
          <w:sz w:val="28"/>
          <w:szCs w:val="28"/>
        </w:rPr>
      </w:pPr>
      <w:bookmarkStart w:id="19" w:name="_Toc161306872"/>
      <w:r>
        <w:rPr>
          <w:rFonts w:hint="eastAsia" w:hAnsi="宋体"/>
          <w:sz w:val="28"/>
          <w:szCs w:val="28"/>
        </w:rPr>
        <w:t>（二）</w:t>
      </w:r>
      <w:r>
        <w:rPr>
          <w:rFonts w:hAnsi="宋体"/>
          <w:sz w:val="28"/>
          <w:szCs w:val="28"/>
        </w:rPr>
        <w:t>★付款</w:t>
      </w:r>
      <w:r>
        <w:rPr>
          <w:rFonts w:hint="eastAsia" w:hAnsi="宋体"/>
          <w:sz w:val="28"/>
          <w:szCs w:val="28"/>
        </w:rPr>
        <w:t>方式</w:t>
      </w:r>
      <w:r>
        <w:rPr>
          <w:rFonts w:hAnsi="宋体"/>
          <w:sz w:val="28"/>
          <w:szCs w:val="28"/>
        </w:rPr>
        <w:t>和条件</w:t>
      </w:r>
      <w:r>
        <w:rPr>
          <w:rFonts w:hint="eastAsia" w:hAnsi="宋体"/>
          <w:sz w:val="28"/>
          <w:szCs w:val="28"/>
        </w:rPr>
        <w:t>：</w:t>
      </w:r>
      <w:bookmarkEnd w:id="19"/>
    </w:p>
    <w:p>
      <w:pPr>
        <w:widowControl/>
        <w:spacing w:line="360" w:lineRule="auto"/>
        <w:ind w:firstLine="420" w:firstLineChars="200"/>
        <w:jc w:val="left"/>
        <w:rPr>
          <w:rFonts w:hint="eastAsia"/>
          <w:kern w:val="0"/>
          <w:szCs w:val="21"/>
          <w:lang w:val="zh-CN"/>
        </w:rPr>
      </w:pPr>
      <w:r>
        <w:rPr>
          <w:rFonts w:hint="eastAsia"/>
          <w:kern w:val="0"/>
          <w:szCs w:val="21"/>
          <w:lang w:val="zh-CN"/>
        </w:rPr>
        <w:t>1.付款方式</w:t>
      </w:r>
    </w:p>
    <w:p>
      <w:pPr>
        <w:widowControl/>
        <w:spacing w:line="360" w:lineRule="auto"/>
        <w:ind w:firstLine="420" w:firstLineChars="200"/>
        <w:jc w:val="left"/>
        <w:rPr>
          <w:rFonts w:hint="eastAsia"/>
          <w:kern w:val="0"/>
          <w:szCs w:val="21"/>
          <w:lang w:val="zh-CN"/>
        </w:rPr>
      </w:pPr>
      <w:r>
        <w:rPr>
          <w:rFonts w:hint="eastAsia"/>
          <w:kern w:val="0"/>
          <w:szCs w:val="21"/>
          <w:lang w:val="zh-CN"/>
        </w:rPr>
        <w:t>在乙方完全按照合同条款执行的情况下，甲方在合同有效期内，分三期向乙方支付合同款。款项支付时间：在乙方完全按照合同条款执行的情况下，合同生效之日起一个月后经验收合格支付合同价款的25%，五个月后经验收合格支付合同价款的70%，合同期限届满本月内支付合同款项的5%。在甲方收到乙方开具的发票和收到当季度各种报告后二十个工作日内，甲方按照合同条款向乙方支付合同进度款。</w:t>
      </w:r>
    </w:p>
    <w:p>
      <w:pPr>
        <w:widowControl/>
        <w:spacing w:line="360" w:lineRule="auto"/>
        <w:ind w:firstLine="420" w:firstLineChars="200"/>
        <w:jc w:val="left"/>
        <w:rPr>
          <w:kern w:val="0"/>
          <w:szCs w:val="21"/>
          <w:lang w:val="zh-CN"/>
        </w:rPr>
      </w:pPr>
      <w:r>
        <w:rPr>
          <w:rFonts w:hint="eastAsia"/>
          <w:kern w:val="0"/>
          <w:szCs w:val="21"/>
          <w:lang w:val="zh-CN"/>
        </w:rPr>
        <w:t>如当季有违约行为被扣款的，应在当季度应付合同款中扣除，当季应付合同款不足抵扣罚款的，递延下一季度继续抵扣，直至扣完为止。</w:t>
      </w:r>
    </w:p>
    <w:p>
      <w:pPr>
        <w:widowControl/>
        <w:spacing w:line="360" w:lineRule="auto"/>
        <w:ind w:firstLine="420" w:firstLineChars="200"/>
        <w:jc w:val="left"/>
        <w:rPr>
          <w:kern w:val="0"/>
          <w:szCs w:val="21"/>
          <w:lang w:val="zh-CN"/>
        </w:rPr>
      </w:pPr>
      <w:r>
        <w:rPr>
          <w:rFonts w:hint="eastAsia"/>
          <w:kern w:val="0"/>
          <w:szCs w:val="21"/>
          <w:lang w:val="zh-CN"/>
        </w:rPr>
        <w:t>2.付款条件</w:t>
      </w:r>
    </w:p>
    <w:p>
      <w:pPr>
        <w:widowControl/>
        <w:spacing w:line="360" w:lineRule="auto"/>
        <w:ind w:firstLine="420" w:firstLineChars="200"/>
        <w:jc w:val="left"/>
        <w:rPr>
          <w:kern w:val="0"/>
          <w:szCs w:val="21"/>
          <w:lang w:val="zh-CN"/>
        </w:rPr>
      </w:pPr>
      <w:r>
        <w:rPr>
          <w:rFonts w:hint="eastAsia"/>
          <w:kern w:val="0"/>
          <w:szCs w:val="21"/>
          <w:lang w:val="zh-CN"/>
        </w:rPr>
        <w:t>乙方提供的服务未因乙方的原因造成甲方损失；</w:t>
      </w:r>
    </w:p>
    <w:p>
      <w:pPr>
        <w:widowControl/>
        <w:spacing w:line="360" w:lineRule="auto"/>
        <w:ind w:firstLine="420" w:firstLineChars="200"/>
        <w:jc w:val="left"/>
        <w:rPr>
          <w:kern w:val="0"/>
          <w:szCs w:val="21"/>
          <w:lang w:val="zh-CN"/>
        </w:rPr>
      </w:pPr>
      <w:r>
        <w:rPr>
          <w:rFonts w:hint="eastAsia"/>
          <w:kern w:val="0"/>
          <w:szCs w:val="21"/>
          <w:lang w:val="zh-CN"/>
        </w:rPr>
        <w:t>乙方在合同规定的时间内为甲方提供全部的自助办税终端驻点维护服务；</w:t>
      </w:r>
    </w:p>
    <w:p>
      <w:pPr>
        <w:widowControl/>
        <w:spacing w:line="360" w:lineRule="auto"/>
        <w:ind w:firstLine="420" w:firstLineChars="200"/>
        <w:jc w:val="left"/>
        <w:rPr>
          <w:kern w:val="0"/>
          <w:szCs w:val="21"/>
          <w:lang w:val="zh-CN"/>
        </w:rPr>
      </w:pPr>
      <w:r>
        <w:rPr>
          <w:rFonts w:hint="eastAsia"/>
          <w:kern w:val="0"/>
          <w:szCs w:val="21"/>
          <w:lang w:val="zh-CN"/>
        </w:rPr>
        <w:t>甲方对乙方所提供的维护服务的季度不满意度在</w:t>
      </w:r>
      <w:r>
        <w:rPr>
          <w:kern w:val="0"/>
          <w:szCs w:val="21"/>
          <w:lang w:val="zh-CN"/>
        </w:rPr>
        <w:t>5%</w:t>
      </w:r>
      <w:r>
        <w:rPr>
          <w:rFonts w:hint="eastAsia"/>
          <w:kern w:val="0"/>
          <w:szCs w:val="21"/>
          <w:lang w:val="zh-CN"/>
        </w:rPr>
        <w:t>以下（不含</w:t>
      </w:r>
      <w:r>
        <w:rPr>
          <w:kern w:val="0"/>
          <w:szCs w:val="21"/>
          <w:lang w:val="zh-CN"/>
        </w:rPr>
        <w:t>5%</w:t>
      </w:r>
      <w:r>
        <w:rPr>
          <w:rFonts w:hint="eastAsia"/>
          <w:kern w:val="0"/>
          <w:szCs w:val="21"/>
          <w:lang w:val="zh-CN"/>
        </w:rPr>
        <w:t>）；</w:t>
      </w:r>
    </w:p>
    <w:p>
      <w:pPr>
        <w:pStyle w:val="4"/>
        <w:spacing w:before="0" w:after="0" w:line="360" w:lineRule="auto"/>
        <w:rPr>
          <w:rFonts w:ascii="Calibri" w:hAnsi="宋体"/>
          <w:bCs w:val="0"/>
          <w:kern w:val="2"/>
          <w:sz w:val="28"/>
          <w:szCs w:val="28"/>
        </w:rPr>
      </w:pPr>
      <w:bookmarkStart w:id="20" w:name="_Toc161306873"/>
      <w:r>
        <w:rPr>
          <w:rFonts w:hint="eastAsia" w:ascii="Calibri" w:hAnsi="宋体"/>
          <w:bCs w:val="0"/>
          <w:kern w:val="2"/>
          <w:sz w:val="28"/>
          <w:szCs w:val="28"/>
        </w:rPr>
        <w:t>（三）验收要求</w:t>
      </w:r>
      <w:bookmarkEnd w:id="20"/>
    </w:p>
    <w:p>
      <w:pPr>
        <w:widowControl/>
        <w:spacing w:line="360" w:lineRule="auto"/>
        <w:ind w:firstLine="420" w:firstLineChars="200"/>
        <w:jc w:val="left"/>
        <w:rPr>
          <w:kern w:val="0"/>
          <w:szCs w:val="21"/>
          <w:lang w:val="zh-CN"/>
        </w:rPr>
      </w:pPr>
      <w:r>
        <w:rPr>
          <w:rFonts w:hint="eastAsia"/>
          <w:kern w:val="0"/>
          <w:szCs w:val="21"/>
          <w:lang w:val="zh-CN"/>
        </w:rPr>
        <w:t>1.定期考核运维服务人员日常自助终端运维服务工作，确认服务质量是否符合工作要求，如有不符合要求事项，项目验收不通过；</w:t>
      </w:r>
    </w:p>
    <w:p>
      <w:pPr>
        <w:widowControl/>
        <w:spacing w:line="360" w:lineRule="auto"/>
        <w:ind w:firstLine="420" w:firstLineChars="200"/>
        <w:jc w:val="left"/>
        <w:rPr>
          <w:kern w:val="0"/>
          <w:szCs w:val="21"/>
          <w:lang w:val="zh-CN"/>
        </w:rPr>
      </w:pPr>
      <w:r>
        <w:rPr>
          <w:rFonts w:hint="eastAsia"/>
          <w:kern w:val="0"/>
          <w:szCs w:val="21"/>
          <w:lang w:val="zh-CN"/>
        </w:rPr>
        <w:t>2.核实运维服务人员在服务期间是否发生纳税人对服务质量、服务态度等不良情况投诉，如有相关投诉项目验收不通过；</w:t>
      </w:r>
    </w:p>
    <w:p>
      <w:pPr>
        <w:widowControl/>
        <w:spacing w:line="360" w:lineRule="auto"/>
        <w:ind w:firstLine="420" w:firstLineChars="200"/>
        <w:jc w:val="left"/>
        <w:rPr>
          <w:kern w:val="0"/>
          <w:szCs w:val="21"/>
          <w:lang w:val="zh-CN"/>
        </w:rPr>
      </w:pPr>
      <w:r>
        <w:rPr>
          <w:rFonts w:hint="eastAsia"/>
          <w:kern w:val="0"/>
          <w:szCs w:val="21"/>
          <w:lang w:val="zh-CN"/>
        </w:rPr>
        <w:t>3.与前台工作人员及大厅相关咨询台人员定期调研，确认其对驻点运维服务人员评分，如存在较差评价经调查核实，属于服务人员全部责任范围的，项目验收不通过；</w:t>
      </w:r>
    </w:p>
    <w:p>
      <w:pPr>
        <w:widowControl/>
        <w:spacing w:line="360" w:lineRule="auto"/>
        <w:ind w:firstLine="420" w:firstLineChars="200"/>
        <w:jc w:val="left"/>
        <w:rPr>
          <w:kern w:val="0"/>
          <w:szCs w:val="21"/>
          <w:lang w:val="zh-CN"/>
        </w:rPr>
      </w:pPr>
      <w:r>
        <w:rPr>
          <w:rFonts w:hint="eastAsia"/>
          <w:kern w:val="0"/>
          <w:szCs w:val="21"/>
          <w:lang w:val="zh-CN"/>
        </w:rPr>
        <w:t>4.</w:t>
      </w:r>
      <w:r>
        <w:rPr>
          <w:rFonts w:hint="eastAsia"/>
        </w:rPr>
        <w:t xml:space="preserve"> </w:t>
      </w:r>
      <w:r>
        <w:rPr>
          <w:rFonts w:hint="eastAsia"/>
          <w:kern w:val="0"/>
          <w:szCs w:val="21"/>
          <w:lang w:val="zh-CN"/>
        </w:rPr>
        <w:t>运维服务人员日常考勤状况，如存在5天以上迟到早退、旷工状况的，项目验收不通过。</w:t>
      </w:r>
    </w:p>
    <w:p>
      <w:pPr>
        <w:widowControl/>
        <w:spacing w:line="360" w:lineRule="auto"/>
        <w:ind w:firstLine="420" w:firstLineChars="200"/>
        <w:jc w:val="left"/>
        <w:rPr>
          <w:kern w:val="0"/>
          <w:szCs w:val="21"/>
          <w:lang w:val="zh-CN"/>
        </w:rPr>
      </w:pPr>
      <w:r>
        <w:rPr>
          <w:rFonts w:hint="eastAsia"/>
          <w:kern w:val="0"/>
          <w:szCs w:val="21"/>
          <w:lang w:val="zh-CN"/>
        </w:rPr>
        <w:t>5.如发生项目验收不通过的情形，则我局有权不予支付当季度以及剩余季度的合同款项，并且有权解除合同，对于因项目验收不通过给我局造成的损失，供应商同样应予以赔偿。</w:t>
      </w:r>
    </w:p>
    <w:p>
      <w:pPr>
        <w:pStyle w:val="3"/>
        <w:tabs>
          <w:tab w:val="left" w:pos="284"/>
        </w:tabs>
        <w:spacing w:before="0" w:after="0" w:line="360" w:lineRule="auto"/>
        <w:rPr>
          <w:rFonts w:ascii="黑体" w:hAnsi="黑体"/>
        </w:rPr>
      </w:pPr>
      <w:bookmarkStart w:id="21" w:name="_Toc161306874"/>
      <w:bookmarkStart w:id="22" w:name="_Toc184089366"/>
      <w:r>
        <w:rPr>
          <w:rFonts w:hint="eastAsia" w:ascii="黑体" w:hAnsi="黑体"/>
        </w:rPr>
        <w:t>五、技术(服务</w:t>
      </w:r>
      <w:r>
        <w:rPr>
          <w:rFonts w:ascii="黑体" w:hAnsi="黑体"/>
        </w:rPr>
        <w:t>)</w:t>
      </w:r>
      <w:r>
        <w:rPr>
          <w:rFonts w:hint="eastAsia" w:ascii="黑体" w:hAnsi="黑体"/>
        </w:rPr>
        <w:t>要求</w:t>
      </w:r>
      <w:bookmarkEnd w:id="21"/>
      <w:bookmarkStart w:id="23" w:name="技术要求"/>
      <w:bookmarkEnd w:id="23"/>
    </w:p>
    <w:bookmarkEnd w:id="22"/>
    <w:p>
      <w:pPr>
        <w:pStyle w:val="4"/>
        <w:spacing w:before="0" w:after="0" w:line="360" w:lineRule="auto"/>
        <w:rPr>
          <w:rFonts w:hint="eastAsia" w:ascii="Calibri" w:hAnsi="宋体"/>
          <w:bCs w:val="0"/>
          <w:kern w:val="2"/>
          <w:sz w:val="28"/>
          <w:szCs w:val="28"/>
        </w:rPr>
      </w:pPr>
      <w:bookmarkStart w:id="24" w:name="_Toc161306875"/>
      <w:r>
        <w:rPr>
          <w:rFonts w:ascii="Calibri" w:hAnsi="宋体"/>
          <w:bCs w:val="0"/>
          <w:kern w:val="2"/>
          <w:sz w:val="28"/>
          <w:szCs w:val="28"/>
        </w:rPr>
        <w:t>（一）</w:t>
      </w:r>
      <w:r>
        <w:rPr>
          <w:rFonts w:hint="eastAsia" w:ascii="Calibri" w:hAnsi="宋体"/>
          <w:bCs w:val="0"/>
          <w:kern w:val="2"/>
          <w:sz w:val="28"/>
          <w:szCs w:val="28"/>
        </w:rPr>
        <w:t>服务人员</w:t>
      </w:r>
      <w:bookmarkEnd w:id="24"/>
    </w:p>
    <w:p>
      <w:pPr>
        <w:widowControl/>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目前我局对办税服务厅内自助办税终端铺设位置及使用数量、业务量监测数据综合分析，拟定自助办税服务终端驻场运维服务人员需求人数为2名。</w:t>
      </w:r>
    </w:p>
    <w:p>
      <w:pPr>
        <w:pStyle w:val="4"/>
        <w:spacing w:before="0" w:after="0" w:line="360" w:lineRule="auto"/>
        <w:rPr>
          <w:rFonts w:ascii="Calibri" w:hAnsi="宋体"/>
          <w:bCs w:val="0"/>
          <w:kern w:val="2"/>
          <w:sz w:val="28"/>
          <w:szCs w:val="28"/>
        </w:rPr>
      </w:pPr>
      <w:bookmarkStart w:id="25" w:name="_Toc161306876"/>
      <w:r>
        <w:rPr>
          <w:rFonts w:hint="eastAsia" w:ascii="Calibri" w:hAnsi="宋体"/>
          <w:bCs w:val="0"/>
          <w:kern w:val="2"/>
          <w:sz w:val="28"/>
          <w:szCs w:val="28"/>
        </w:rPr>
        <w:t>（二）日常服务时间</w:t>
      </w:r>
      <w:bookmarkEnd w:id="25"/>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驻场服务人员按我局工作时间提供运维服务，即每个工作日上午</w:t>
      </w:r>
      <w:r>
        <w:rPr>
          <w:rFonts w:ascii="宋体" w:hAnsi="宋体" w:cs="仿宋_GB2312"/>
          <w:kern w:val="0"/>
          <w:szCs w:val="21"/>
        </w:rPr>
        <w:t>9</w:t>
      </w:r>
      <w:r>
        <w:rPr>
          <w:rFonts w:hint="eastAsia" w:ascii="宋体" w:hAnsi="宋体" w:cs="仿宋_GB2312"/>
          <w:kern w:val="0"/>
          <w:szCs w:val="21"/>
        </w:rPr>
        <w:t>：</w:t>
      </w:r>
      <w:r>
        <w:rPr>
          <w:rFonts w:ascii="宋体" w:hAnsi="宋体" w:cs="仿宋_GB2312"/>
          <w:kern w:val="0"/>
          <w:szCs w:val="21"/>
        </w:rPr>
        <w:t>00-12</w:t>
      </w:r>
      <w:r>
        <w:rPr>
          <w:rFonts w:hint="eastAsia" w:ascii="宋体" w:hAnsi="宋体" w:cs="仿宋_GB2312"/>
          <w:kern w:val="0"/>
          <w:szCs w:val="21"/>
        </w:rPr>
        <w:t>：</w:t>
      </w:r>
      <w:r>
        <w:rPr>
          <w:rFonts w:ascii="宋体" w:hAnsi="宋体" w:cs="仿宋_GB2312"/>
          <w:kern w:val="0"/>
          <w:szCs w:val="21"/>
        </w:rPr>
        <w:t>00</w:t>
      </w:r>
      <w:r>
        <w:rPr>
          <w:rFonts w:hint="eastAsia" w:ascii="宋体" w:hAnsi="宋体" w:cs="仿宋_GB2312"/>
          <w:kern w:val="0"/>
          <w:szCs w:val="21"/>
        </w:rPr>
        <w:t>，下午</w:t>
      </w:r>
      <w:r>
        <w:rPr>
          <w:rFonts w:ascii="宋体" w:hAnsi="宋体" w:cs="仿宋_GB2312"/>
          <w:kern w:val="0"/>
          <w:szCs w:val="21"/>
        </w:rPr>
        <w:t>14</w:t>
      </w:r>
      <w:r>
        <w:rPr>
          <w:rFonts w:hint="eastAsia" w:ascii="宋体" w:hAnsi="宋体" w:cs="仿宋_GB2312"/>
          <w:kern w:val="0"/>
          <w:szCs w:val="21"/>
        </w:rPr>
        <w:t>：</w:t>
      </w:r>
      <w:r>
        <w:rPr>
          <w:rFonts w:ascii="宋体" w:hAnsi="宋体" w:cs="仿宋_GB2312"/>
          <w:kern w:val="0"/>
          <w:szCs w:val="21"/>
        </w:rPr>
        <w:t>00-18</w:t>
      </w:r>
      <w:r>
        <w:rPr>
          <w:rFonts w:hint="eastAsia" w:ascii="宋体" w:hAnsi="宋体" w:cs="仿宋_GB2312"/>
          <w:kern w:val="0"/>
          <w:szCs w:val="21"/>
        </w:rPr>
        <w:t>：</w:t>
      </w:r>
      <w:r>
        <w:rPr>
          <w:rFonts w:ascii="宋体" w:hAnsi="宋体" w:cs="仿宋_GB2312"/>
          <w:kern w:val="0"/>
          <w:szCs w:val="21"/>
        </w:rPr>
        <w:t>00</w:t>
      </w:r>
      <w:r>
        <w:rPr>
          <w:rFonts w:hint="eastAsia" w:ascii="宋体" w:hAnsi="宋体" w:cs="仿宋_GB2312"/>
          <w:kern w:val="0"/>
          <w:szCs w:val="21"/>
        </w:rPr>
        <w:t>。</w:t>
      </w:r>
    </w:p>
    <w:p>
      <w:pPr>
        <w:pStyle w:val="4"/>
        <w:spacing w:before="0" w:after="0" w:line="360" w:lineRule="auto"/>
        <w:rPr>
          <w:rFonts w:hint="eastAsia" w:ascii="Calibri" w:hAnsi="宋体"/>
          <w:bCs w:val="0"/>
          <w:kern w:val="2"/>
          <w:sz w:val="28"/>
          <w:szCs w:val="28"/>
        </w:rPr>
      </w:pPr>
      <w:bookmarkStart w:id="26" w:name="_Toc161306877"/>
      <w:r>
        <w:rPr>
          <w:rFonts w:hint="eastAsia" w:ascii="Calibri" w:hAnsi="宋体"/>
          <w:bCs w:val="0"/>
          <w:kern w:val="2"/>
          <w:sz w:val="28"/>
          <w:szCs w:val="28"/>
        </w:rPr>
        <w:t>（三）</w:t>
      </w:r>
      <w:r>
        <w:rPr>
          <w:rFonts w:ascii="Calibri" w:hAnsi="宋体"/>
          <w:bCs w:val="0"/>
          <w:kern w:val="2"/>
          <w:sz w:val="28"/>
          <w:szCs w:val="28"/>
        </w:rPr>
        <w:t>服务</w:t>
      </w:r>
      <w:r>
        <w:rPr>
          <w:rFonts w:hint="eastAsia" w:ascii="Calibri" w:hAnsi="宋体"/>
          <w:bCs w:val="0"/>
          <w:kern w:val="2"/>
          <w:sz w:val="28"/>
          <w:szCs w:val="28"/>
        </w:rPr>
        <w:t>内容</w:t>
      </w:r>
      <w:bookmarkEnd w:id="26"/>
    </w:p>
    <w:p>
      <w:pPr>
        <w:pStyle w:val="5"/>
        <w:spacing w:before="0" w:after="0" w:line="377" w:lineRule="auto"/>
        <w:ind w:firstLine="422" w:firstLineChars="200"/>
        <w:rPr>
          <w:rFonts w:ascii="宋体" w:hAnsi="宋体" w:cs="仿宋_GB2312"/>
          <w:kern w:val="0"/>
          <w:sz w:val="21"/>
          <w:szCs w:val="21"/>
        </w:rPr>
      </w:pPr>
      <w:bookmarkStart w:id="27" w:name="_Toc265597834"/>
      <w:bookmarkStart w:id="28" w:name="_Toc315854992"/>
      <w:r>
        <w:rPr>
          <w:rFonts w:hint="eastAsia" w:ascii="宋体" w:hAnsi="宋体" w:cs="仿宋_GB2312"/>
          <w:kern w:val="0"/>
          <w:sz w:val="21"/>
          <w:szCs w:val="21"/>
        </w:rPr>
        <w:t>1.</w:t>
      </w:r>
      <w:r>
        <w:rPr>
          <w:rFonts w:ascii="宋体" w:hAnsi="宋体" w:cs="仿宋_GB2312"/>
          <w:kern w:val="0"/>
          <w:sz w:val="21"/>
          <w:szCs w:val="21"/>
        </w:rPr>
        <w:t>驻场运维服务：</w:t>
      </w:r>
    </w:p>
    <w:p>
      <w:pPr>
        <w:widowControl/>
        <w:spacing w:line="360" w:lineRule="auto"/>
        <w:ind w:firstLine="420" w:firstLineChars="200"/>
        <w:jc w:val="left"/>
        <w:rPr>
          <w:rFonts w:ascii="宋体" w:hAnsi="宋体" w:cs="仿宋_GB2312"/>
          <w:kern w:val="0"/>
          <w:szCs w:val="21"/>
        </w:rPr>
      </w:pPr>
      <w:r>
        <w:rPr>
          <w:rFonts w:hint="eastAsia" w:hAnsi="宋体"/>
          <w:kern w:val="0"/>
          <w:szCs w:val="21"/>
        </w:rPr>
        <w:t>（1）</w:t>
      </w:r>
      <w:r>
        <w:rPr>
          <w:rFonts w:ascii="宋体" w:hAnsi="宋体" w:cs="仿宋_GB2312"/>
          <w:kern w:val="0"/>
          <w:szCs w:val="21"/>
        </w:rPr>
        <w:t>驻场工程师：提供2名专职技术服务人员；</w:t>
      </w:r>
    </w:p>
    <w:p>
      <w:pPr>
        <w:widowControl/>
        <w:spacing w:line="360" w:lineRule="auto"/>
        <w:ind w:firstLine="420" w:firstLineChars="200"/>
        <w:jc w:val="left"/>
        <w:rPr>
          <w:rFonts w:ascii="宋体" w:hAnsi="宋体" w:cs="仿宋_GB2312"/>
          <w:kern w:val="0"/>
          <w:szCs w:val="21"/>
        </w:rPr>
      </w:pPr>
      <w:r>
        <w:rPr>
          <w:rFonts w:hint="eastAsia" w:hAnsi="宋体"/>
          <w:kern w:val="0"/>
          <w:szCs w:val="21"/>
        </w:rPr>
        <w:t>（2）</w:t>
      </w:r>
      <w:r>
        <w:rPr>
          <w:rFonts w:ascii="宋体" w:hAnsi="宋体" w:cs="仿宋_GB2312"/>
          <w:kern w:val="0"/>
          <w:szCs w:val="21"/>
        </w:rPr>
        <w:t>设备管理服务：负责保障自助代开办税终端正常运行，遵循设备安全保障管理要求；包含对自助终端开机、关机、票据补充、耗材更换等；</w:t>
      </w:r>
    </w:p>
    <w:p>
      <w:pPr>
        <w:widowControl/>
        <w:spacing w:line="360" w:lineRule="auto"/>
        <w:ind w:firstLine="420" w:firstLineChars="200"/>
        <w:jc w:val="left"/>
        <w:rPr>
          <w:rFonts w:ascii="宋体" w:hAnsi="宋体" w:cs="仿宋_GB2312"/>
          <w:kern w:val="0"/>
          <w:szCs w:val="21"/>
        </w:rPr>
      </w:pPr>
      <w:r>
        <w:rPr>
          <w:rFonts w:hint="eastAsia" w:hAnsi="宋体"/>
          <w:kern w:val="0"/>
          <w:szCs w:val="21"/>
        </w:rPr>
        <w:t>（3）</w:t>
      </w:r>
      <w:r>
        <w:rPr>
          <w:rFonts w:hint="eastAsia" w:ascii="宋体" w:hAnsi="宋体" w:cs="仿宋_GB2312"/>
          <w:kern w:val="0"/>
          <w:szCs w:val="21"/>
        </w:rPr>
        <w:t>导税咨询服务：引导纳税人正确使用自助办税终端，向纳税人普及自助办税终端相关的业务使用及咨询服务、负责自助代开办税终端相关业务知识以及使用说明解答；</w:t>
      </w:r>
    </w:p>
    <w:p>
      <w:pPr>
        <w:widowControl/>
        <w:spacing w:line="360" w:lineRule="auto"/>
        <w:ind w:firstLine="420" w:firstLineChars="200"/>
        <w:jc w:val="left"/>
        <w:rPr>
          <w:rFonts w:ascii="宋体" w:hAnsi="宋体" w:cs="仿宋_GB2312"/>
          <w:kern w:val="0"/>
          <w:szCs w:val="21"/>
        </w:rPr>
      </w:pPr>
      <w:r>
        <w:rPr>
          <w:rFonts w:hint="eastAsia" w:hAnsi="宋体"/>
          <w:kern w:val="0"/>
          <w:szCs w:val="21"/>
        </w:rPr>
        <w:t>（4）</w:t>
      </w:r>
      <w:r>
        <w:rPr>
          <w:rFonts w:ascii="宋体" w:hAnsi="宋体" w:cs="仿宋_GB2312"/>
          <w:kern w:val="0"/>
          <w:szCs w:val="21"/>
        </w:rPr>
        <w:t>用户需求配合：接受用户对自助办税终端维护事件的督办、检查、协助服务台完成对用户意见进行回访和事件统计、分析。对服务过程和反馈的意见进行改进，同时接收服务台的绩效考评工作；</w:t>
      </w:r>
    </w:p>
    <w:p>
      <w:pPr>
        <w:widowControl/>
        <w:spacing w:line="360" w:lineRule="auto"/>
        <w:ind w:firstLine="420" w:firstLineChars="200"/>
        <w:jc w:val="left"/>
        <w:rPr>
          <w:rFonts w:ascii="宋体" w:hAnsi="宋体" w:cs="仿宋_GB2312"/>
          <w:kern w:val="0"/>
          <w:szCs w:val="21"/>
        </w:rPr>
      </w:pPr>
      <w:r>
        <w:rPr>
          <w:rFonts w:hint="eastAsia" w:hAnsi="宋体"/>
          <w:kern w:val="0"/>
          <w:szCs w:val="21"/>
        </w:rPr>
        <w:t>（5）</w:t>
      </w:r>
      <w:r>
        <w:rPr>
          <w:rFonts w:ascii="宋体" w:hAnsi="宋体" w:cs="仿宋_GB2312"/>
          <w:kern w:val="0"/>
          <w:szCs w:val="21"/>
        </w:rPr>
        <w:t>其他服务</w:t>
      </w:r>
      <w:bookmarkStart w:id="29" w:name="_Toc514013074"/>
      <w:bookmarkStart w:id="30" w:name="_Toc14517"/>
      <w:bookmarkStart w:id="31" w:name="_Toc492198461"/>
      <w:bookmarkStart w:id="32" w:name="_Toc528770223"/>
      <w:r>
        <w:rPr>
          <w:rFonts w:ascii="宋体" w:hAnsi="宋体" w:cs="仿宋_GB2312"/>
          <w:kern w:val="0"/>
          <w:szCs w:val="21"/>
        </w:rPr>
        <w:t>。</w:t>
      </w:r>
    </w:p>
    <w:p>
      <w:pPr>
        <w:pStyle w:val="5"/>
        <w:spacing w:before="0" w:after="0" w:line="377" w:lineRule="auto"/>
        <w:ind w:firstLine="422" w:firstLineChars="200"/>
        <w:rPr>
          <w:rFonts w:ascii="宋体" w:hAnsi="宋体" w:cs="仿宋_GB2312"/>
          <w:kern w:val="0"/>
          <w:sz w:val="21"/>
          <w:szCs w:val="21"/>
        </w:rPr>
      </w:pPr>
      <w:r>
        <w:rPr>
          <w:rFonts w:hint="eastAsia" w:ascii="宋体" w:hAnsi="宋体" w:cs="仿宋_GB2312"/>
          <w:kern w:val="0"/>
          <w:sz w:val="21"/>
          <w:szCs w:val="21"/>
        </w:rPr>
        <w:t>2.</w:t>
      </w:r>
      <w:r>
        <w:rPr>
          <w:rFonts w:ascii="宋体" w:hAnsi="宋体" w:cs="仿宋_GB2312"/>
          <w:kern w:val="0"/>
          <w:sz w:val="21"/>
          <w:szCs w:val="21"/>
        </w:rPr>
        <w:t>培训</w:t>
      </w:r>
      <w:bookmarkEnd w:id="29"/>
      <w:bookmarkEnd w:id="30"/>
      <w:bookmarkEnd w:id="31"/>
      <w:r>
        <w:rPr>
          <w:rFonts w:ascii="宋体" w:hAnsi="宋体" w:cs="仿宋_GB2312"/>
          <w:kern w:val="0"/>
          <w:sz w:val="21"/>
          <w:szCs w:val="21"/>
        </w:rPr>
        <w:t>服务</w:t>
      </w:r>
      <w:bookmarkEnd w:id="32"/>
    </w:p>
    <w:p>
      <w:pPr>
        <w:widowControl/>
        <w:spacing w:line="360" w:lineRule="auto"/>
        <w:ind w:firstLine="422" w:firstLineChars="200"/>
        <w:jc w:val="left"/>
        <w:rPr>
          <w:rFonts w:ascii="宋体" w:hAnsi="宋体" w:cs="仿宋_GB2312"/>
          <w:b/>
          <w:kern w:val="0"/>
          <w:szCs w:val="21"/>
        </w:rPr>
      </w:pPr>
      <w:r>
        <w:rPr>
          <w:rFonts w:hint="eastAsia" w:hAnsi="宋体"/>
          <w:b/>
          <w:kern w:val="0"/>
          <w:szCs w:val="21"/>
        </w:rPr>
        <w:t>（1）</w:t>
      </w:r>
      <w:r>
        <w:rPr>
          <w:rFonts w:ascii="宋体" w:hAnsi="宋体" w:cs="仿宋_GB2312"/>
          <w:b/>
          <w:kern w:val="0"/>
          <w:szCs w:val="21"/>
        </w:rPr>
        <w:t>与深圳市税务局培训需求同步，可提供相应的培训服务，培训服务内容包括终端操作及后台管理操作。</w:t>
      </w:r>
    </w:p>
    <w:p>
      <w:pPr>
        <w:widowControl/>
        <w:spacing w:line="360" w:lineRule="auto"/>
        <w:ind w:firstLine="422" w:firstLineChars="200"/>
        <w:jc w:val="left"/>
        <w:rPr>
          <w:rFonts w:ascii="宋体" w:hAnsi="宋体" w:cs="仿宋_GB2312"/>
          <w:b/>
          <w:kern w:val="0"/>
          <w:szCs w:val="21"/>
        </w:rPr>
      </w:pPr>
      <w:r>
        <w:rPr>
          <w:rFonts w:hint="eastAsia" w:hAnsi="宋体"/>
          <w:b/>
          <w:kern w:val="0"/>
          <w:szCs w:val="21"/>
        </w:rPr>
        <w:t>（2）</w:t>
      </w:r>
      <w:r>
        <w:rPr>
          <w:rFonts w:ascii="宋体" w:hAnsi="宋体" w:cs="仿宋_GB2312"/>
          <w:b/>
          <w:kern w:val="0"/>
          <w:szCs w:val="21"/>
        </w:rPr>
        <w:t>终端操作培训包含：</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a.</w:t>
      </w:r>
      <w:r>
        <w:rPr>
          <w:rFonts w:ascii="宋体" w:hAnsi="宋体" w:cs="仿宋_GB2312"/>
          <w:kern w:val="0"/>
          <w:szCs w:val="21"/>
        </w:rPr>
        <w:t>终端各业务功能的操作流程；</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b.</w:t>
      </w:r>
      <w:r>
        <w:rPr>
          <w:rFonts w:ascii="宋体" w:hAnsi="宋体" w:cs="仿宋_GB2312"/>
          <w:kern w:val="0"/>
          <w:szCs w:val="21"/>
        </w:rPr>
        <w:t>终端管理功能操作说明：</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票据管理；</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耗材重置；</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日志查看；</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暂停/恢复服务、功能；</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关机、重启设置。</w:t>
      </w:r>
    </w:p>
    <w:p>
      <w:pPr>
        <w:widowControl/>
        <w:spacing w:line="360" w:lineRule="auto"/>
        <w:ind w:firstLine="422" w:firstLineChars="200"/>
        <w:jc w:val="left"/>
        <w:rPr>
          <w:rFonts w:ascii="宋体" w:hAnsi="宋体" w:cs="仿宋_GB2312"/>
          <w:b/>
          <w:kern w:val="0"/>
          <w:szCs w:val="21"/>
        </w:rPr>
      </w:pPr>
      <w:r>
        <w:rPr>
          <w:rFonts w:hint="eastAsia" w:hAnsi="宋体"/>
          <w:b/>
          <w:kern w:val="0"/>
          <w:szCs w:val="21"/>
        </w:rPr>
        <w:t>（3）</w:t>
      </w:r>
      <w:r>
        <w:rPr>
          <w:rFonts w:ascii="宋体" w:hAnsi="宋体" w:cs="仿宋_GB2312"/>
          <w:b/>
          <w:kern w:val="0"/>
          <w:szCs w:val="21"/>
        </w:rPr>
        <w:t>后台管理平台培训内容包括有：</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a.</w:t>
      </w:r>
      <w:r>
        <w:rPr>
          <w:rFonts w:ascii="宋体" w:hAnsi="宋体" w:cs="仿宋_GB2312"/>
          <w:kern w:val="0"/>
          <w:szCs w:val="21"/>
        </w:rPr>
        <w:t>终端管理平台功能操作说明：</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终端管理；</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业务查询统计。</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b.</w:t>
      </w:r>
      <w:r>
        <w:rPr>
          <w:rFonts w:ascii="宋体" w:hAnsi="宋体" w:cs="仿宋_GB2312"/>
          <w:kern w:val="0"/>
          <w:szCs w:val="21"/>
        </w:rPr>
        <w:t>终端监控平台各功能操作说明。</w:t>
      </w:r>
    </w:p>
    <w:p>
      <w:pPr>
        <w:widowControl/>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c.</w:t>
      </w:r>
      <w:r>
        <w:rPr>
          <w:rFonts w:ascii="宋体" w:hAnsi="宋体" w:cs="仿宋_GB2312"/>
          <w:kern w:val="0"/>
          <w:szCs w:val="21"/>
        </w:rPr>
        <w:t>终端相关业务处理培训。</w:t>
      </w:r>
    </w:p>
    <w:p>
      <w:pPr>
        <w:pStyle w:val="5"/>
        <w:spacing w:before="0" w:after="0" w:line="377" w:lineRule="auto"/>
        <w:ind w:firstLine="422" w:firstLineChars="200"/>
        <w:rPr>
          <w:rFonts w:ascii="宋体" w:hAnsi="宋体" w:cs="仿宋_GB2312"/>
          <w:kern w:val="0"/>
          <w:sz w:val="21"/>
          <w:szCs w:val="21"/>
        </w:rPr>
      </w:pPr>
      <w:r>
        <w:rPr>
          <w:rFonts w:hint="eastAsia" w:ascii="宋体" w:hAnsi="宋体" w:cs="仿宋_GB2312"/>
          <w:kern w:val="0"/>
          <w:sz w:val="21"/>
          <w:szCs w:val="21"/>
        </w:rPr>
        <w:t>3.</w:t>
      </w:r>
      <w:r>
        <w:rPr>
          <w:rFonts w:ascii="宋体" w:hAnsi="宋体" w:cs="仿宋_GB2312"/>
          <w:kern w:val="0"/>
          <w:sz w:val="21"/>
          <w:szCs w:val="21"/>
        </w:rPr>
        <w:t>运维服务总结报告</w:t>
      </w:r>
    </w:p>
    <w:tbl>
      <w:tblPr>
        <w:tblStyle w:val="2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73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ign w:val="center"/>
          </w:tcPr>
          <w:p>
            <w:pPr>
              <w:pStyle w:val="24"/>
              <w:spacing w:beforeAutospacing="0" w:afterAutospacing="0" w:line="360" w:lineRule="auto"/>
              <w:jc w:val="center"/>
              <w:rPr>
                <w:rFonts w:ascii="Times New Roman" w:hAnsi="Times New Roman" w:cs="Times New Roman"/>
                <w:b/>
                <w:sz w:val="21"/>
                <w:szCs w:val="21"/>
              </w:rPr>
            </w:pPr>
            <w:r>
              <w:rPr>
                <w:rFonts w:ascii="Times New Roman" w:cs="Times New Roman"/>
                <w:b/>
                <w:sz w:val="21"/>
                <w:szCs w:val="21"/>
              </w:rPr>
              <w:t>报告名称</w:t>
            </w:r>
          </w:p>
        </w:tc>
        <w:tc>
          <w:tcPr>
            <w:tcW w:w="2730" w:type="dxa"/>
            <w:noWrap/>
            <w:vAlign w:val="center"/>
          </w:tcPr>
          <w:p>
            <w:pPr>
              <w:pStyle w:val="24"/>
              <w:spacing w:beforeAutospacing="0" w:afterAutospacing="0" w:line="276" w:lineRule="auto"/>
              <w:jc w:val="center"/>
              <w:rPr>
                <w:rFonts w:ascii="Times New Roman" w:hAnsi="Times New Roman" w:cs="Times New Roman"/>
                <w:b/>
                <w:sz w:val="21"/>
                <w:szCs w:val="21"/>
              </w:rPr>
            </w:pPr>
            <w:r>
              <w:rPr>
                <w:rFonts w:ascii="Times New Roman" w:cs="Times New Roman"/>
                <w:b/>
                <w:sz w:val="21"/>
                <w:szCs w:val="21"/>
              </w:rPr>
              <w:t>报告内容</w:t>
            </w:r>
          </w:p>
        </w:tc>
        <w:tc>
          <w:tcPr>
            <w:tcW w:w="2940" w:type="dxa"/>
            <w:noWrap/>
            <w:vAlign w:val="center"/>
          </w:tcPr>
          <w:p>
            <w:pPr>
              <w:pStyle w:val="24"/>
              <w:spacing w:beforeAutospacing="0" w:afterAutospacing="0" w:line="360" w:lineRule="auto"/>
              <w:jc w:val="center"/>
              <w:rPr>
                <w:rFonts w:ascii="Times New Roman" w:hAnsi="Times New Roman" w:cs="Times New Roman"/>
                <w:b/>
                <w:sz w:val="21"/>
                <w:szCs w:val="21"/>
              </w:rPr>
            </w:pPr>
            <w:r>
              <w:rPr>
                <w:rFonts w:ascii="Times New Roman" w:cs="Times New Roman"/>
                <w:b/>
                <w:sz w:val="21"/>
                <w:szCs w:val="21"/>
              </w:rPr>
              <w:t>递交时间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ign w:val="center"/>
          </w:tcPr>
          <w:p>
            <w:pPr>
              <w:pStyle w:val="24"/>
              <w:spacing w:beforeAutospacing="0" w:afterAutospacing="0" w:line="360" w:lineRule="auto"/>
              <w:jc w:val="center"/>
              <w:rPr>
                <w:rFonts w:ascii="Times New Roman" w:hAnsi="Times New Roman" w:cs="Times New Roman"/>
                <w:sz w:val="21"/>
                <w:szCs w:val="21"/>
              </w:rPr>
            </w:pPr>
            <w:r>
              <w:rPr>
                <w:rFonts w:ascii="Times New Roman" w:cs="Times New Roman"/>
                <w:sz w:val="21"/>
                <w:szCs w:val="21"/>
              </w:rPr>
              <w:t>日常运维服务月度报告</w:t>
            </w:r>
          </w:p>
        </w:tc>
        <w:tc>
          <w:tcPr>
            <w:tcW w:w="2730" w:type="dxa"/>
            <w:noWrap/>
            <w:vAlign w:val="center"/>
          </w:tcPr>
          <w:p>
            <w:pPr>
              <w:pStyle w:val="24"/>
              <w:spacing w:beforeAutospacing="0" w:afterAutospacing="0" w:line="276" w:lineRule="auto"/>
              <w:jc w:val="center"/>
              <w:rPr>
                <w:rFonts w:ascii="Times New Roman" w:hAnsi="Times New Roman" w:cs="Times New Roman"/>
                <w:sz w:val="21"/>
                <w:szCs w:val="21"/>
              </w:rPr>
            </w:pPr>
            <w:r>
              <w:rPr>
                <w:rFonts w:ascii="Times New Roman" w:cs="Times New Roman"/>
                <w:sz w:val="21"/>
                <w:szCs w:val="21"/>
              </w:rPr>
              <w:t>日常工作汇报</w:t>
            </w:r>
          </w:p>
        </w:tc>
        <w:tc>
          <w:tcPr>
            <w:tcW w:w="2940" w:type="dxa"/>
            <w:noWrap/>
            <w:vAlign w:val="center"/>
          </w:tcPr>
          <w:p>
            <w:pPr>
              <w:pStyle w:val="24"/>
              <w:spacing w:beforeAutospacing="0" w:afterAutospacing="0" w:line="360" w:lineRule="auto"/>
              <w:jc w:val="center"/>
              <w:rPr>
                <w:rFonts w:ascii="Times New Roman" w:hAnsi="Times New Roman" w:cs="Times New Roman"/>
                <w:sz w:val="21"/>
                <w:szCs w:val="21"/>
              </w:rPr>
            </w:pPr>
            <w:r>
              <w:rPr>
                <w:rFonts w:ascii="Times New Roman" w:cs="Times New Roman"/>
                <w:sz w:val="21"/>
                <w:szCs w:val="21"/>
              </w:rPr>
              <w:t>每月</w:t>
            </w:r>
            <w:r>
              <w:rPr>
                <w:rFonts w:ascii="Times New Roman" w:hAnsi="Times New Roman" w:cs="Times New Roman"/>
                <w:sz w:val="21"/>
                <w:szCs w:val="21"/>
              </w:rPr>
              <w:t>1</w:t>
            </w:r>
            <w:r>
              <w:rPr>
                <w:rFonts w:ascii="Times New Roman" w:cs="Times New Roman"/>
                <w:sz w:val="21"/>
                <w:szCs w:val="21"/>
              </w:rPr>
              <w:t>日提交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ign w:val="center"/>
          </w:tcPr>
          <w:p>
            <w:pPr>
              <w:pStyle w:val="24"/>
              <w:spacing w:beforeAutospacing="0" w:afterAutospacing="0" w:line="360" w:lineRule="auto"/>
              <w:jc w:val="center"/>
              <w:rPr>
                <w:rFonts w:ascii="Times New Roman" w:hAnsi="Times New Roman" w:cs="Times New Roman"/>
                <w:sz w:val="21"/>
                <w:szCs w:val="21"/>
              </w:rPr>
            </w:pPr>
            <w:r>
              <w:rPr>
                <w:rFonts w:ascii="Times New Roman" w:cs="Times New Roman"/>
                <w:sz w:val="21"/>
                <w:szCs w:val="21"/>
              </w:rPr>
              <w:t>异常事件反馈报告</w:t>
            </w:r>
          </w:p>
        </w:tc>
        <w:tc>
          <w:tcPr>
            <w:tcW w:w="2730" w:type="dxa"/>
            <w:noWrap/>
            <w:vAlign w:val="center"/>
          </w:tcPr>
          <w:p>
            <w:pPr>
              <w:pStyle w:val="24"/>
              <w:spacing w:beforeAutospacing="0" w:afterAutospacing="0" w:line="276" w:lineRule="auto"/>
              <w:jc w:val="center"/>
              <w:rPr>
                <w:rFonts w:ascii="Times New Roman" w:hAnsi="Times New Roman" w:cs="Times New Roman"/>
                <w:sz w:val="21"/>
                <w:szCs w:val="21"/>
              </w:rPr>
            </w:pPr>
            <w:r>
              <w:rPr>
                <w:rFonts w:ascii="Times New Roman" w:cs="Times New Roman"/>
                <w:sz w:val="21"/>
                <w:szCs w:val="21"/>
              </w:rPr>
              <w:t>异常服务处理反馈</w:t>
            </w:r>
          </w:p>
        </w:tc>
        <w:tc>
          <w:tcPr>
            <w:tcW w:w="2940" w:type="dxa"/>
            <w:noWrap/>
            <w:vAlign w:val="center"/>
          </w:tcPr>
          <w:p>
            <w:pPr>
              <w:pStyle w:val="24"/>
              <w:spacing w:beforeAutospacing="0" w:afterAutospacing="0" w:line="360" w:lineRule="auto"/>
              <w:jc w:val="center"/>
              <w:rPr>
                <w:rFonts w:ascii="Times New Roman" w:hAnsi="Times New Roman" w:cs="Times New Roman"/>
                <w:sz w:val="21"/>
                <w:szCs w:val="21"/>
              </w:rPr>
            </w:pPr>
            <w:r>
              <w:rPr>
                <w:rFonts w:ascii="Times New Roman" w:cs="Times New Roman"/>
                <w:sz w:val="21"/>
                <w:szCs w:val="21"/>
              </w:rPr>
              <w:t>异常发生三天内提交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5" w:type="dxa"/>
            <w:noWrap/>
            <w:vAlign w:val="center"/>
          </w:tcPr>
          <w:p>
            <w:pPr>
              <w:pStyle w:val="24"/>
              <w:spacing w:beforeAutospacing="0" w:afterAutospacing="0" w:line="360" w:lineRule="auto"/>
              <w:jc w:val="center"/>
              <w:rPr>
                <w:rFonts w:ascii="Times New Roman" w:hAnsi="Times New Roman" w:cs="Times New Roman"/>
                <w:sz w:val="21"/>
                <w:szCs w:val="21"/>
              </w:rPr>
            </w:pPr>
            <w:r>
              <w:rPr>
                <w:rFonts w:ascii="Times New Roman" w:cs="Times New Roman"/>
                <w:sz w:val="21"/>
                <w:szCs w:val="21"/>
              </w:rPr>
              <w:t>设备维修汇总</w:t>
            </w:r>
          </w:p>
        </w:tc>
        <w:tc>
          <w:tcPr>
            <w:tcW w:w="2730" w:type="dxa"/>
            <w:noWrap/>
            <w:vAlign w:val="center"/>
          </w:tcPr>
          <w:p>
            <w:pPr>
              <w:pStyle w:val="24"/>
              <w:spacing w:beforeAutospacing="0" w:afterAutospacing="0" w:line="276" w:lineRule="auto"/>
              <w:jc w:val="center"/>
              <w:rPr>
                <w:rFonts w:ascii="Times New Roman" w:hAnsi="Times New Roman" w:cs="Times New Roman"/>
                <w:sz w:val="21"/>
                <w:szCs w:val="21"/>
              </w:rPr>
            </w:pPr>
            <w:r>
              <w:rPr>
                <w:rFonts w:ascii="Times New Roman" w:cs="Times New Roman"/>
                <w:sz w:val="21"/>
                <w:szCs w:val="21"/>
              </w:rPr>
              <w:t>设备维修记录</w:t>
            </w:r>
          </w:p>
        </w:tc>
        <w:tc>
          <w:tcPr>
            <w:tcW w:w="2940" w:type="dxa"/>
            <w:noWrap/>
            <w:vAlign w:val="center"/>
          </w:tcPr>
          <w:p>
            <w:pPr>
              <w:pStyle w:val="24"/>
              <w:spacing w:beforeAutospacing="0" w:afterAutospacing="0" w:line="360" w:lineRule="auto"/>
              <w:jc w:val="center"/>
              <w:rPr>
                <w:rFonts w:ascii="Times New Roman" w:hAnsi="Times New Roman" w:cs="Times New Roman"/>
                <w:sz w:val="21"/>
                <w:szCs w:val="21"/>
              </w:rPr>
            </w:pPr>
            <w:r>
              <w:rPr>
                <w:rFonts w:ascii="Times New Roman" w:cs="Times New Roman"/>
                <w:sz w:val="21"/>
                <w:szCs w:val="21"/>
              </w:rPr>
              <w:t>每月</w:t>
            </w:r>
            <w:r>
              <w:rPr>
                <w:rFonts w:ascii="Times New Roman" w:hAnsi="Times New Roman" w:cs="Times New Roman"/>
                <w:sz w:val="21"/>
                <w:szCs w:val="21"/>
              </w:rPr>
              <w:t>1</w:t>
            </w:r>
            <w:r>
              <w:rPr>
                <w:rFonts w:ascii="Times New Roman" w:cs="Times New Roman"/>
                <w:sz w:val="21"/>
                <w:szCs w:val="21"/>
              </w:rPr>
              <w:t>日提交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3045" w:type="dxa"/>
            <w:noWrap/>
            <w:vAlign w:val="center"/>
          </w:tcPr>
          <w:p>
            <w:pPr>
              <w:pStyle w:val="24"/>
              <w:spacing w:beforeAutospacing="0" w:afterAutospacing="0" w:line="360" w:lineRule="auto"/>
              <w:jc w:val="center"/>
              <w:rPr>
                <w:rFonts w:ascii="Times New Roman" w:hAnsi="Times New Roman" w:cs="Times New Roman"/>
                <w:sz w:val="21"/>
                <w:szCs w:val="21"/>
              </w:rPr>
            </w:pPr>
            <w:r>
              <w:rPr>
                <w:rFonts w:ascii="Times New Roman" w:cs="Times New Roman"/>
                <w:sz w:val="21"/>
                <w:szCs w:val="21"/>
              </w:rPr>
              <w:t>终端建立</w:t>
            </w:r>
            <w:r>
              <w:rPr>
                <w:rFonts w:ascii="Times New Roman" w:hAnsi="Times New Roman" w:cs="Times New Roman"/>
                <w:sz w:val="21"/>
                <w:szCs w:val="21"/>
              </w:rPr>
              <w:br w:type="textWrapping"/>
            </w:r>
            <w:r>
              <w:rPr>
                <w:rFonts w:ascii="Times New Roman" w:cs="Times New Roman"/>
                <w:sz w:val="21"/>
                <w:szCs w:val="21"/>
              </w:rPr>
              <w:t>资产档案</w:t>
            </w:r>
          </w:p>
        </w:tc>
        <w:tc>
          <w:tcPr>
            <w:tcW w:w="2730" w:type="dxa"/>
            <w:noWrap/>
            <w:vAlign w:val="center"/>
          </w:tcPr>
          <w:p>
            <w:pPr>
              <w:pStyle w:val="24"/>
              <w:spacing w:beforeAutospacing="0" w:afterAutospacing="0" w:line="276" w:lineRule="auto"/>
              <w:jc w:val="center"/>
              <w:rPr>
                <w:rFonts w:ascii="Times New Roman" w:hAnsi="Times New Roman" w:cs="Times New Roman"/>
                <w:sz w:val="21"/>
                <w:szCs w:val="21"/>
              </w:rPr>
            </w:pPr>
            <w:r>
              <w:rPr>
                <w:rFonts w:ascii="Times New Roman" w:cs="Times New Roman"/>
                <w:sz w:val="21"/>
                <w:szCs w:val="21"/>
              </w:rPr>
              <w:t>终端资产登记</w:t>
            </w:r>
            <w:r>
              <w:rPr>
                <w:rFonts w:ascii="Times New Roman" w:hAnsi="Times New Roman" w:cs="Times New Roman"/>
                <w:sz w:val="21"/>
                <w:szCs w:val="21"/>
              </w:rPr>
              <w:br w:type="textWrapping"/>
            </w:r>
            <w:r>
              <w:rPr>
                <w:rFonts w:ascii="Times New Roman" w:cs="Times New Roman"/>
                <w:sz w:val="21"/>
                <w:szCs w:val="21"/>
              </w:rPr>
              <w:t>（</w:t>
            </w:r>
            <w:r>
              <w:rPr>
                <w:rFonts w:ascii="Times New Roman" w:hAnsi="Times New Roman" w:cs="Times New Roman"/>
                <w:sz w:val="21"/>
                <w:szCs w:val="21"/>
              </w:rPr>
              <w:t>IP</w:t>
            </w:r>
            <w:r>
              <w:rPr>
                <w:rFonts w:ascii="Times New Roman" w:cs="Times New Roman"/>
                <w:sz w:val="21"/>
                <w:szCs w:val="21"/>
              </w:rPr>
              <w:t>信息、账号信息、保修期、序列号）</w:t>
            </w:r>
          </w:p>
        </w:tc>
        <w:tc>
          <w:tcPr>
            <w:tcW w:w="2940" w:type="dxa"/>
            <w:noWrap/>
            <w:vAlign w:val="center"/>
          </w:tcPr>
          <w:p>
            <w:pPr>
              <w:pStyle w:val="24"/>
              <w:spacing w:beforeAutospacing="0" w:afterAutospacing="0" w:line="360" w:lineRule="auto"/>
              <w:jc w:val="center"/>
              <w:rPr>
                <w:rFonts w:ascii="Times New Roman" w:hAnsi="Times New Roman" w:cs="Times New Roman"/>
                <w:sz w:val="21"/>
                <w:szCs w:val="21"/>
              </w:rPr>
            </w:pPr>
            <w:r>
              <w:rPr>
                <w:rFonts w:ascii="Times New Roman" w:cs="Times New Roman"/>
                <w:sz w:val="21"/>
                <w:szCs w:val="21"/>
              </w:rPr>
              <w:t>每半年更新</w:t>
            </w:r>
          </w:p>
        </w:tc>
      </w:tr>
    </w:tbl>
    <w:p>
      <w:pPr>
        <w:pStyle w:val="5"/>
        <w:spacing w:before="0" w:after="0" w:line="377" w:lineRule="auto"/>
        <w:ind w:firstLine="422" w:firstLineChars="200"/>
        <w:rPr>
          <w:rFonts w:ascii="宋体" w:hAnsi="宋体" w:cs="仿宋_GB2312"/>
          <w:kern w:val="0"/>
          <w:sz w:val="21"/>
          <w:szCs w:val="21"/>
        </w:rPr>
      </w:pPr>
      <w:r>
        <w:rPr>
          <w:rFonts w:hint="eastAsia" w:ascii="宋体" w:hAnsi="宋体" w:cs="仿宋_GB2312"/>
          <w:kern w:val="0"/>
          <w:sz w:val="21"/>
          <w:szCs w:val="21"/>
        </w:rPr>
        <w:t>4.</w:t>
      </w:r>
      <w:r>
        <w:rPr>
          <w:rFonts w:ascii="宋体" w:hAnsi="宋体" w:cs="仿宋_GB2312"/>
          <w:kern w:val="0"/>
          <w:sz w:val="21"/>
          <w:szCs w:val="21"/>
        </w:rPr>
        <w:t>软件升级及维护服务</w:t>
      </w:r>
    </w:p>
    <w:p>
      <w:pPr>
        <w:widowControl/>
        <w:spacing w:line="360" w:lineRule="auto"/>
        <w:ind w:firstLine="420" w:firstLineChars="200"/>
        <w:jc w:val="left"/>
        <w:rPr>
          <w:rFonts w:ascii="宋体" w:hAnsi="宋体" w:cs="仿宋_GB2312"/>
          <w:kern w:val="0"/>
          <w:szCs w:val="21"/>
        </w:rPr>
      </w:pPr>
      <w:r>
        <w:rPr>
          <w:rFonts w:ascii="宋体" w:hAnsi="宋体" w:cs="仿宋_GB2312"/>
          <w:kern w:val="0"/>
          <w:szCs w:val="21"/>
        </w:rPr>
        <w:t>（1）监控维护：自助代开机系统所涉及软硬件的监控工作，发现问题开展日常维护工作。监控分为：终端运行状态监控、中间件运行状态监控、数据库运行状态监控、主机存储系统监控等;</w:t>
      </w:r>
    </w:p>
    <w:p>
      <w:pPr>
        <w:widowControl/>
        <w:spacing w:line="360" w:lineRule="auto"/>
        <w:ind w:firstLine="420" w:firstLineChars="200"/>
        <w:jc w:val="left"/>
        <w:rPr>
          <w:rFonts w:ascii="宋体" w:hAnsi="宋体" w:cs="仿宋_GB2312"/>
          <w:kern w:val="0"/>
          <w:szCs w:val="21"/>
        </w:rPr>
      </w:pPr>
      <w:r>
        <w:rPr>
          <w:rFonts w:ascii="宋体" w:hAnsi="宋体" w:cs="仿宋_GB2312"/>
          <w:kern w:val="0"/>
          <w:szCs w:val="21"/>
        </w:rPr>
        <w:t>（2）软件日常维护：系统运行中出现的各类问题分析处理，帮忙用户解决使用环境软件兼容性等问题，减少用户系统运行中遇到的难题，按要求处理系统相关事项;</w:t>
      </w:r>
    </w:p>
    <w:p>
      <w:pPr>
        <w:widowControl/>
        <w:spacing w:line="360" w:lineRule="auto"/>
        <w:ind w:firstLine="420" w:firstLineChars="200"/>
        <w:jc w:val="left"/>
        <w:rPr>
          <w:rFonts w:ascii="宋体" w:hAnsi="宋体" w:cs="仿宋_GB2312"/>
          <w:kern w:val="0"/>
          <w:szCs w:val="21"/>
        </w:rPr>
      </w:pPr>
      <w:r>
        <w:rPr>
          <w:rFonts w:ascii="宋体" w:hAnsi="宋体" w:cs="仿宋_GB2312"/>
          <w:kern w:val="0"/>
          <w:szCs w:val="21"/>
        </w:rPr>
        <w:t>（3）数据维护：对自助代开机系统的业务数据进行维护，按用户需求进行统计分析;</w:t>
      </w:r>
    </w:p>
    <w:p>
      <w:pPr>
        <w:widowControl/>
        <w:spacing w:line="360" w:lineRule="auto"/>
        <w:ind w:firstLine="420" w:firstLineChars="200"/>
        <w:jc w:val="left"/>
        <w:rPr>
          <w:rFonts w:ascii="宋体" w:hAnsi="宋体" w:cs="仿宋_GB2312"/>
          <w:kern w:val="0"/>
          <w:szCs w:val="21"/>
        </w:rPr>
      </w:pPr>
      <w:r>
        <w:rPr>
          <w:rFonts w:ascii="宋体" w:hAnsi="宋体" w:cs="仿宋_GB2312"/>
          <w:kern w:val="0"/>
          <w:szCs w:val="21"/>
        </w:rPr>
        <w:t>（4）中间件维护：为webLogic、tomcat和nginx等中间件提供日常管理、维护、配置等一系列管理运维任务;</w:t>
      </w:r>
    </w:p>
    <w:p>
      <w:pPr>
        <w:widowControl/>
        <w:spacing w:line="360" w:lineRule="auto"/>
        <w:ind w:firstLine="420" w:firstLineChars="200"/>
        <w:jc w:val="left"/>
        <w:rPr>
          <w:rFonts w:ascii="宋体" w:hAnsi="宋体" w:cs="仿宋_GB2312"/>
          <w:kern w:val="0"/>
          <w:szCs w:val="21"/>
        </w:rPr>
      </w:pPr>
      <w:r>
        <w:rPr>
          <w:rFonts w:ascii="宋体" w:hAnsi="宋体" w:cs="仿宋_GB2312"/>
          <w:kern w:val="0"/>
          <w:szCs w:val="21"/>
        </w:rPr>
        <w:t>（5）版本更新发布管理：结合实际业务需求，升级软件相应功能，协助优化原有的BUG，严格测试提高各项业务功能的可行性，完善所有版本线上升级部署工作;</w:t>
      </w:r>
    </w:p>
    <w:p>
      <w:pPr>
        <w:widowControl/>
        <w:spacing w:line="360" w:lineRule="auto"/>
        <w:ind w:firstLine="420" w:firstLineChars="200"/>
        <w:jc w:val="left"/>
        <w:rPr>
          <w:rFonts w:ascii="宋体" w:hAnsi="宋体" w:cs="仿宋_GB2312"/>
          <w:color w:val="FF0000"/>
          <w:kern w:val="0"/>
          <w:szCs w:val="21"/>
        </w:rPr>
      </w:pPr>
      <w:r>
        <w:rPr>
          <w:rFonts w:ascii="宋体" w:hAnsi="宋体" w:cs="仿宋_GB2312"/>
          <w:kern w:val="0"/>
          <w:szCs w:val="21"/>
        </w:rPr>
        <w:t>（6）因软件系统引起的不确定性故障，需全力配合其它设备系统供应商进行检查，在要求响应时间内到达现场协助排除故障。</w:t>
      </w:r>
    </w:p>
    <w:p>
      <w:pPr>
        <w:pStyle w:val="4"/>
        <w:spacing w:before="0" w:after="0" w:line="360" w:lineRule="auto"/>
        <w:rPr>
          <w:rFonts w:hAnsi="宋体"/>
          <w:sz w:val="28"/>
          <w:szCs w:val="28"/>
        </w:rPr>
      </w:pPr>
      <w:bookmarkStart w:id="33" w:name="_Toc161306878"/>
      <w:r>
        <w:rPr>
          <w:rFonts w:hAnsi="宋体"/>
          <w:sz w:val="28"/>
          <w:szCs w:val="28"/>
        </w:rPr>
        <w:t>（</w:t>
      </w:r>
      <w:r>
        <w:rPr>
          <w:rFonts w:hint="eastAsia" w:hAnsi="宋体"/>
          <w:sz w:val="28"/>
          <w:szCs w:val="28"/>
        </w:rPr>
        <w:t>四</w:t>
      </w:r>
      <w:r>
        <w:rPr>
          <w:rFonts w:hAnsi="宋体"/>
          <w:sz w:val="28"/>
          <w:szCs w:val="28"/>
        </w:rPr>
        <w:t>）运维人员管理</w:t>
      </w:r>
      <w:bookmarkEnd w:id="33"/>
    </w:p>
    <w:p>
      <w:pPr>
        <w:pStyle w:val="5"/>
        <w:spacing w:before="0" w:after="0" w:line="377" w:lineRule="auto"/>
        <w:ind w:firstLine="422" w:firstLineChars="200"/>
        <w:rPr>
          <w:rFonts w:ascii="宋体" w:hAnsi="宋体" w:cs="仿宋_GB2312"/>
          <w:kern w:val="0"/>
          <w:sz w:val="21"/>
          <w:szCs w:val="21"/>
        </w:rPr>
      </w:pPr>
      <w:r>
        <w:rPr>
          <w:rFonts w:hint="eastAsia" w:ascii="宋体" w:hAnsi="宋体" w:cs="仿宋_GB2312"/>
          <w:kern w:val="0"/>
          <w:sz w:val="21"/>
          <w:szCs w:val="21"/>
        </w:rPr>
        <w:t>1.</w:t>
      </w:r>
      <w:r>
        <w:rPr>
          <w:rFonts w:ascii="宋体" w:hAnsi="宋体" w:cs="仿宋_GB2312"/>
          <w:kern w:val="0"/>
          <w:sz w:val="21"/>
          <w:szCs w:val="21"/>
        </w:rPr>
        <w:t>日常考勤</w:t>
      </w:r>
    </w:p>
    <w:p>
      <w:pPr>
        <w:snapToGrid w:val="0"/>
        <w:spacing w:line="360" w:lineRule="auto"/>
        <w:ind w:firstLine="420" w:firstLineChars="200"/>
        <w:rPr>
          <w:kern w:val="0"/>
          <w:szCs w:val="21"/>
        </w:rPr>
      </w:pPr>
      <w:r>
        <w:rPr>
          <w:rFonts w:hAnsi="宋体"/>
          <w:kern w:val="0"/>
          <w:szCs w:val="21"/>
        </w:rPr>
        <w:t>由我局征收管理科负责日常考勤管理。</w:t>
      </w:r>
    </w:p>
    <w:p>
      <w:pPr>
        <w:pStyle w:val="5"/>
        <w:spacing w:before="0" w:after="0" w:line="377" w:lineRule="auto"/>
        <w:ind w:firstLine="422" w:firstLineChars="200"/>
        <w:rPr>
          <w:rFonts w:ascii="宋体" w:hAnsi="宋体" w:cs="仿宋_GB2312"/>
          <w:kern w:val="0"/>
          <w:sz w:val="21"/>
          <w:szCs w:val="21"/>
        </w:rPr>
      </w:pPr>
      <w:r>
        <w:rPr>
          <w:rFonts w:hint="eastAsia" w:ascii="宋体" w:hAnsi="宋体" w:cs="仿宋_GB2312"/>
          <w:kern w:val="0"/>
          <w:sz w:val="21"/>
          <w:szCs w:val="21"/>
        </w:rPr>
        <w:t>2.</w:t>
      </w:r>
      <w:r>
        <w:rPr>
          <w:rFonts w:ascii="宋体" w:hAnsi="宋体" w:cs="仿宋_GB2312"/>
          <w:kern w:val="0"/>
          <w:sz w:val="21"/>
          <w:szCs w:val="21"/>
        </w:rPr>
        <w:t>服务标准</w:t>
      </w:r>
    </w:p>
    <w:p>
      <w:pPr>
        <w:snapToGrid w:val="0"/>
        <w:spacing w:line="360" w:lineRule="auto"/>
        <w:ind w:firstLine="420" w:firstLineChars="200"/>
        <w:rPr>
          <w:rFonts w:hint="eastAsia"/>
          <w:kern w:val="0"/>
          <w:szCs w:val="21"/>
        </w:rPr>
      </w:pPr>
      <w:r>
        <w:rPr>
          <w:rFonts w:hint="eastAsia" w:hAnsi="宋体"/>
          <w:kern w:val="0"/>
          <w:szCs w:val="21"/>
        </w:rPr>
        <w:t>（1）</w:t>
      </w:r>
      <w:r>
        <w:rPr>
          <w:rFonts w:hAnsi="宋体"/>
          <w:kern w:val="0"/>
          <w:szCs w:val="21"/>
        </w:rPr>
        <w:t>严格执行《全国税务机关纳税服务规范》（</w:t>
      </w:r>
      <w:r>
        <w:rPr>
          <w:kern w:val="0"/>
          <w:szCs w:val="21"/>
        </w:rPr>
        <w:t>3.0</w:t>
      </w:r>
      <w:r>
        <w:rPr>
          <w:rFonts w:hAnsi="宋体"/>
          <w:kern w:val="0"/>
          <w:szCs w:val="21"/>
        </w:rPr>
        <w:t>版）中提出的服务标准。</w:t>
      </w:r>
    </w:p>
    <w:p>
      <w:pPr>
        <w:snapToGrid w:val="0"/>
        <w:spacing w:line="360" w:lineRule="auto"/>
        <w:ind w:firstLine="420" w:firstLineChars="200"/>
        <w:rPr>
          <w:szCs w:val="21"/>
        </w:rPr>
      </w:pPr>
      <w:r>
        <w:rPr>
          <w:rFonts w:hint="eastAsia" w:hAnsi="宋体"/>
          <w:kern w:val="0"/>
          <w:szCs w:val="21"/>
        </w:rPr>
        <w:t>（2）</w:t>
      </w:r>
      <w:r>
        <w:rPr>
          <w:rFonts w:hAnsi="宋体"/>
          <w:b/>
          <w:bCs/>
          <w:szCs w:val="21"/>
        </w:rPr>
        <w:t>着装规范</w:t>
      </w:r>
      <w:r>
        <w:rPr>
          <w:rFonts w:hAnsi="宋体"/>
          <w:szCs w:val="21"/>
        </w:rPr>
        <w:t>：为现场服务人员配置统一的工作服，佩戴统一的工作牌；</w:t>
      </w:r>
    </w:p>
    <w:p>
      <w:pPr>
        <w:snapToGrid w:val="0"/>
        <w:spacing w:line="360" w:lineRule="auto"/>
        <w:ind w:firstLine="420" w:firstLineChars="200"/>
        <w:rPr>
          <w:kern w:val="0"/>
          <w:szCs w:val="21"/>
        </w:rPr>
      </w:pPr>
      <w:r>
        <w:rPr>
          <w:rFonts w:hint="eastAsia" w:hAnsi="宋体"/>
          <w:kern w:val="0"/>
          <w:szCs w:val="21"/>
        </w:rPr>
        <w:t>（3）</w:t>
      </w:r>
      <w:r>
        <w:rPr>
          <w:rFonts w:hAnsi="宋体"/>
          <w:b/>
          <w:bCs/>
          <w:kern w:val="0"/>
          <w:szCs w:val="21"/>
        </w:rPr>
        <w:t>仪容举止</w:t>
      </w:r>
      <w:r>
        <w:rPr>
          <w:rFonts w:hAnsi="宋体"/>
          <w:kern w:val="0"/>
          <w:szCs w:val="21"/>
        </w:rPr>
        <w:t>：仪容整洁，修饰得体，与纳税人交谈时，文明礼貌、态度谦和、真诚友善。</w:t>
      </w:r>
    </w:p>
    <w:p>
      <w:pPr>
        <w:snapToGrid w:val="0"/>
        <w:spacing w:line="360" w:lineRule="auto"/>
        <w:ind w:firstLine="420" w:firstLineChars="200"/>
        <w:rPr>
          <w:kern w:val="0"/>
          <w:szCs w:val="21"/>
        </w:rPr>
      </w:pPr>
      <w:r>
        <w:rPr>
          <w:rFonts w:hint="eastAsia" w:hAnsi="宋体"/>
          <w:kern w:val="0"/>
          <w:szCs w:val="21"/>
        </w:rPr>
        <w:t>（4）</w:t>
      </w:r>
      <w:r>
        <w:rPr>
          <w:rFonts w:hAnsi="宋体"/>
          <w:b/>
          <w:bCs/>
          <w:kern w:val="0"/>
          <w:szCs w:val="21"/>
        </w:rPr>
        <w:t>服务用语</w:t>
      </w:r>
      <w:r>
        <w:rPr>
          <w:rFonts w:hAnsi="宋体"/>
          <w:kern w:val="0"/>
          <w:szCs w:val="21"/>
        </w:rPr>
        <w:t>：工作时间使用普通话，做到语气平和、表达清晰。</w:t>
      </w:r>
    </w:p>
    <w:p>
      <w:pPr>
        <w:snapToGrid w:val="0"/>
        <w:spacing w:line="360" w:lineRule="auto"/>
        <w:ind w:firstLine="420" w:firstLineChars="200"/>
        <w:rPr>
          <w:rFonts w:hint="eastAsia" w:hAnsi="宋体"/>
          <w:kern w:val="0"/>
          <w:szCs w:val="21"/>
        </w:rPr>
      </w:pPr>
      <w:r>
        <w:rPr>
          <w:rFonts w:hint="eastAsia" w:hAnsi="宋体"/>
          <w:kern w:val="0"/>
          <w:szCs w:val="21"/>
        </w:rPr>
        <w:t>（5）</w:t>
      </w:r>
      <w:r>
        <w:rPr>
          <w:rFonts w:hAnsi="宋体"/>
          <w:b/>
          <w:bCs/>
          <w:kern w:val="0"/>
          <w:szCs w:val="21"/>
        </w:rPr>
        <w:t>优质服务：</w:t>
      </w:r>
      <w:r>
        <w:rPr>
          <w:rFonts w:hAnsi="宋体"/>
          <w:kern w:val="0"/>
          <w:szCs w:val="21"/>
        </w:rPr>
        <w:t>在大厅辅导过程中，做到首问责任制、延时服务、一次性告知等优质服务要求。</w:t>
      </w:r>
    </w:p>
    <w:p>
      <w:pPr>
        <w:pStyle w:val="4"/>
        <w:spacing w:before="0" w:after="0" w:line="360" w:lineRule="auto"/>
        <w:rPr>
          <w:rFonts w:hAnsi="宋体"/>
          <w:sz w:val="28"/>
          <w:szCs w:val="28"/>
        </w:rPr>
      </w:pPr>
      <w:bookmarkStart w:id="34" w:name="_Toc161306879"/>
      <w:r>
        <w:rPr>
          <w:rFonts w:hint="eastAsia" w:hAnsi="宋体"/>
          <w:sz w:val="28"/>
          <w:szCs w:val="28"/>
        </w:rPr>
        <w:t>（五）保密条款</w:t>
      </w:r>
      <w:bookmarkEnd w:id="34"/>
    </w:p>
    <w:p>
      <w:pPr>
        <w:pStyle w:val="10"/>
        <w:spacing w:line="360" w:lineRule="auto"/>
        <w:ind w:firstLine="420" w:firstLineChars="200"/>
        <w:rPr>
          <w:rFonts w:hAnsi="宋体"/>
          <w:sz w:val="21"/>
          <w:szCs w:val="21"/>
          <w:lang w:val="en-GB"/>
        </w:rPr>
      </w:pPr>
      <w:r>
        <w:rPr>
          <w:rFonts w:hint="eastAsia" w:hAnsi="宋体"/>
          <w:sz w:val="21"/>
          <w:szCs w:val="21"/>
          <w:lang w:val="en-GB"/>
        </w:rPr>
        <w:t>双方一致同意在任何时候对其持有的有关另一方的事务或其事务运转操作方法等机密信息实行严格保密。除非有另一方书面授权或出于相关方进行活动的必要，任何一方不得在任何时间向任何人透露任何保密信息。双方进一步同意不把任何保密信息交给任何人,除非有另一方的书面指示或出于一方履行其义务的合理要求；双方同意不对保密信息进行拷贝或抄写。</w:t>
      </w:r>
    </w:p>
    <w:p>
      <w:pPr>
        <w:pStyle w:val="10"/>
        <w:spacing w:line="360" w:lineRule="auto"/>
        <w:ind w:firstLine="420" w:firstLineChars="200"/>
        <w:rPr>
          <w:rFonts w:hAnsi="宋体"/>
          <w:sz w:val="21"/>
          <w:szCs w:val="21"/>
          <w:lang w:val="en-GB"/>
        </w:rPr>
      </w:pPr>
      <w:r>
        <w:rPr>
          <w:rFonts w:hint="eastAsia" w:hAnsi="宋体"/>
          <w:sz w:val="21"/>
          <w:szCs w:val="21"/>
          <w:lang w:val="en-GB"/>
        </w:rPr>
        <w:t>上述条款对以下内容不适用:</w:t>
      </w:r>
    </w:p>
    <w:p>
      <w:pPr>
        <w:pStyle w:val="10"/>
        <w:spacing w:line="360" w:lineRule="auto"/>
        <w:ind w:firstLine="420" w:firstLineChars="200"/>
        <w:rPr>
          <w:rFonts w:hAnsi="宋体"/>
          <w:sz w:val="21"/>
          <w:szCs w:val="21"/>
          <w:lang w:val="en-GB"/>
        </w:rPr>
      </w:pPr>
      <w:r>
        <w:rPr>
          <w:rFonts w:hint="eastAsia" w:hAnsi="宋体"/>
          <w:sz w:val="21"/>
          <w:szCs w:val="21"/>
          <w:lang w:val="en-GB"/>
        </w:rPr>
        <w:t>已属于常识且不受版权控制的内容；</w:t>
      </w:r>
    </w:p>
    <w:p>
      <w:pPr>
        <w:pStyle w:val="10"/>
        <w:spacing w:line="360" w:lineRule="auto"/>
        <w:ind w:firstLine="420" w:firstLineChars="200"/>
        <w:rPr>
          <w:rFonts w:hAnsi="宋体"/>
          <w:sz w:val="21"/>
          <w:szCs w:val="21"/>
          <w:lang w:val="en-GB"/>
        </w:rPr>
      </w:pPr>
      <w:r>
        <w:rPr>
          <w:rFonts w:hint="eastAsia" w:hAnsi="宋体"/>
          <w:sz w:val="21"/>
          <w:szCs w:val="21"/>
          <w:lang w:val="en-GB"/>
        </w:rPr>
        <w:t>已通过出版物或其他原因（未经授权行为或疏忽除外）而成为不受版权控制的内容；</w:t>
      </w:r>
    </w:p>
    <w:p>
      <w:pPr>
        <w:pStyle w:val="10"/>
        <w:spacing w:line="360" w:lineRule="auto"/>
        <w:ind w:firstLine="420" w:firstLineChars="200"/>
        <w:rPr>
          <w:rFonts w:hAnsi="宋体"/>
          <w:sz w:val="21"/>
          <w:szCs w:val="21"/>
          <w:lang w:val="en-GB"/>
        </w:rPr>
      </w:pPr>
      <w:r>
        <w:rPr>
          <w:rFonts w:hint="eastAsia" w:hAnsi="宋体"/>
          <w:sz w:val="21"/>
          <w:szCs w:val="21"/>
          <w:lang w:val="en-GB"/>
        </w:rPr>
        <w:t>由任何第三方未加任何约束提供的内容，且该第三方对这些内容无任何明确、隐含或暗示的保密义务；</w:t>
      </w:r>
    </w:p>
    <w:p>
      <w:pPr>
        <w:pStyle w:val="10"/>
        <w:spacing w:line="360" w:lineRule="auto"/>
        <w:ind w:firstLine="420" w:firstLineChars="200"/>
        <w:rPr>
          <w:rFonts w:hAnsi="宋体"/>
          <w:sz w:val="21"/>
          <w:szCs w:val="21"/>
          <w:lang w:val="en-GB"/>
        </w:rPr>
      </w:pPr>
      <w:r>
        <w:rPr>
          <w:rFonts w:hint="eastAsia" w:hAnsi="宋体"/>
          <w:sz w:val="21"/>
          <w:szCs w:val="21"/>
          <w:lang w:val="en-GB"/>
        </w:rPr>
        <w:t>按法律要求需向任何机关、机构或媒介公开的内容。</w:t>
      </w:r>
    </w:p>
    <w:p>
      <w:pPr>
        <w:pStyle w:val="10"/>
        <w:spacing w:line="360" w:lineRule="auto"/>
        <w:ind w:firstLine="420" w:firstLineChars="200"/>
        <w:rPr>
          <w:rFonts w:hAnsi="宋体"/>
          <w:sz w:val="21"/>
          <w:szCs w:val="21"/>
          <w:lang w:val="en-GB"/>
        </w:rPr>
      </w:pPr>
      <w:r>
        <w:rPr>
          <w:rFonts w:hint="eastAsia" w:hAnsi="宋体"/>
          <w:sz w:val="21"/>
          <w:szCs w:val="21"/>
          <w:lang w:val="en-GB"/>
        </w:rPr>
        <w:t>双方对另一方的业务经营信息、内部管理方法、内部规章制度以及其他与企业经营相关的信息，都负有保密义务。未经许可，不得向任何第三方透露，不得将前述信息用于任何商业用途。</w:t>
      </w:r>
    </w:p>
    <w:p>
      <w:pPr>
        <w:pStyle w:val="10"/>
        <w:spacing w:line="360" w:lineRule="auto"/>
        <w:ind w:firstLine="420" w:firstLineChars="200"/>
        <w:rPr>
          <w:rFonts w:hAnsi="宋体"/>
          <w:sz w:val="21"/>
          <w:szCs w:val="21"/>
          <w:lang w:val="en-GB"/>
        </w:rPr>
      </w:pPr>
      <w:r>
        <w:rPr>
          <w:rFonts w:hint="eastAsia" w:hAnsi="宋体"/>
          <w:sz w:val="21"/>
          <w:szCs w:val="21"/>
          <w:lang w:val="en-GB"/>
        </w:rPr>
        <w:t>保密期限为永久，不论本合同是否变更、解除或终止，该保密条款不受限制并持续有效。</w:t>
      </w:r>
    </w:p>
    <w:p>
      <w:pPr>
        <w:pStyle w:val="4"/>
        <w:spacing w:before="0" w:after="0" w:line="360" w:lineRule="auto"/>
        <w:rPr>
          <w:rFonts w:hAnsi="宋体"/>
          <w:sz w:val="28"/>
          <w:szCs w:val="28"/>
        </w:rPr>
      </w:pPr>
      <w:bookmarkStart w:id="35" w:name="_Toc161306880"/>
      <w:r>
        <w:rPr>
          <w:rFonts w:hint="eastAsia" w:hAnsi="宋体"/>
          <w:sz w:val="28"/>
          <w:szCs w:val="28"/>
        </w:rPr>
        <w:t>（六）违约责任</w:t>
      </w:r>
      <w:bookmarkEnd w:id="35"/>
    </w:p>
    <w:p>
      <w:pPr>
        <w:pStyle w:val="10"/>
        <w:spacing w:line="360" w:lineRule="auto"/>
        <w:ind w:firstLine="420" w:firstLineChars="200"/>
        <w:rPr>
          <w:rFonts w:hint="eastAsia" w:hAnsi="宋体"/>
          <w:sz w:val="21"/>
          <w:szCs w:val="21"/>
          <w:lang w:val="en-GB"/>
        </w:rPr>
      </w:pPr>
      <w:r>
        <w:rPr>
          <w:rFonts w:hint="eastAsia" w:hAnsi="宋体"/>
          <w:sz w:val="21"/>
          <w:szCs w:val="21"/>
          <w:lang w:val="en-GB"/>
        </w:rPr>
        <w:t>在系统维护阶段，甲方根据乙方服务质量支付相应服务费用。如果甲方对乙方所提供的现场服务的不满意次数达到10次以上，甲方有权从应支付乙方的合同费用中扣除部分金额。若不满意次数达到20或以上，则甲方有权终止合同的执行，合同余款不予支付。</w:t>
      </w:r>
    </w:p>
    <w:p>
      <w:pPr>
        <w:pStyle w:val="10"/>
        <w:spacing w:line="360" w:lineRule="auto"/>
        <w:ind w:firstLine="420" w:firstLineChars="200"/>
        <w:rPr>
          <w:rFonts w:hint="eastAsia" w:hAnsi="宋体"/>
          <w:sz w:val="21"/>
          <w:szCs w:val="21"/>
          <w:lang w:val="en-GB"/>
        </w:rPr>
      </w:pPr>
      <w:r>
        <w:rPr>
          <w:rFonts w:hint="eastAsia" w:hAnsi="宋体"/>
          <w:sz w:val="21"/>
          <w:szCs w:val="21"/>
          <w:lang w:val="en-GB"/>
        </w:rPr>
        <w:t>对上述 “不满意”的具体解释</w:t>
      </w:r>
    </w:p>
    <w:p>
      <w:pPr>
        <w:pStyle w:val="10"/>
        <w:spacing w:line="360" w:lineRule="auto"/>
        <w:ind w:firstLine="420" w:firstLineChars="200"/>
        <w:rPr>
          <w:rFonts w:hint="eastAsia" w:hAnsi="宋体"/>
          <w:sz w:val="21"/>
          <w:szCs w:val="21"/>
          <w:lang w:val="en-GB"/>
        </w:rPr>
      </w:pPr>
      <w:r>
        <w:rPr>
          <w:rFonts w:hint="eastAsia" w:hAnsi="宋体"/>
          <w:sz w:val="21"/>
          <w:szCs w:val="21"/>
          <w:lang w:val="en-GB"/>
        </w:rPr>
        <w:t>乙方在某次服务中具有以下行为之一，则甲方认为乙方本次提供的服务为 “不满意”。</w:t>
      </w:r>
    </w:p>
    <w:p>
      <w:pPr>
        <w:pStyle w:val="10"/>
        <w:spacing w:line="360" w:lineRule="auto"/>
        <w:ind w:firstLine="420" w:firstLineChars="200"/>
        <w:rPr>
          <w:rFonts w:hint="eastAsia" w:hAnsi="宋体"/>
          <w:sz w:val="21"/>
          <w:szCs w:val="21"/>
          <w:lang w:val="en-GB"/>
        </w:rPr>
      </w:pPr>
      <w:r>
        <w:rPr>
          <w:rFonts w:hint="eastAsia" w:hAnsi="宋体"/>
          <w:sz w:val="21"/>
          <w:szCs w:val="21"/>
          <w:lang w:val="en-GB"/>
        </w:rPr>
        <w:t>乙方不按合同规定的时间到达现场进行驻点运维服务；</w:t>
      </w:r>
    </w:p>
    <w:p>
      <w:pPr>
        <w:pStyle w:val="10"/>
        <w:spacing w:line="360" w:lineRule="auto"/>
        <w:ind w:firstLine="420" w:firstLineChars="200"/>
        <w:rPr>
          <w:rFonts w:hint="eastAsia" w:hAnsi="宋体"/>
          <w:sz w:val="21"/>
          <w:szCs w:val="21"/>
          <w:lang w:val="en-GB"/>
        </w:rPr>
      </w:pPr>
      <w:r>
        <w:rPr>
          <w:rFonts w:hint="eastAsia" w:hAnsi="宋体"/>
          <w:sz w:val="21"/>
          <w:szCs w:val="21"/>
          <w:lang w:val="en-GB"/>
        </w:rPr>
        <w:t>乙方修复系统的时间超过合同规定的系统修复的时间承诺；</w:t>
      </w:r>
    </w:p>
    <w:p>
      <w:pPr>
        <w:pStyle w:val="10"/>
        <w:spacing w:line="360" w:lineRule="auto"/>
        <w:ind w:firstLine="420" w:firstLineChars="200"/>
        <w:rPr>
          <w:rFonts w:hint="eastAsia" w:hAnsi="宋体"/>
          <w:sz w:val="21"/>
          <w:szCs w:val="21"/>
          <w:lang w:val="en-GB"/>
        </w:rPr>
      </w:pPr>
      <w:r>
        <w:rPr>
          <w:rFonts w:hint="eastAsia" w:hAnsi="宋体"/>
          <w:sz w:val="21"/>
          <w:szCs w:val="21"/>
          <w:lang w:val="en-GB"/>
        </w:rPr>
        <w:t>由于乙方责任，导致甲方系统不正常运行或故障范围扩大；</w:t>
      </w:r>
    </w:p>
    <w:p>
      <w:pPr>
        <w:pStyle w:val="10"/>
        <w:spacing w:line="360" w:lineRule="auto"/>
        <w:ind w:firstLine="420" w:firstLineChars="200"/>
        <w:rPr>
          <w:rFonts w:hint="eastAsia" w:hAnsi="宋体"/>
          <w:sz w:val="21"/>
          <w:szCs w:val="21"/>
          <w:lang w:val="en-GB"/>
        </w:rPr>
      </w:pPr>
      <w:r>
        <w:rPr>
          <w:rFonts w:hint="eastAsia" w:hAnsi="宋体"/>
          <w:sz w:val="21"/>
          <w:szCs w:val="21"/>
          <w:lang w:val="en-GB"/>
        </w:rPr>
        <w:t>当原厂商公告系统补丁、漏洞后，乙方没有及时通知甲方或给出方案；</w:t>
      </w:r>
    </w:p>
    <w:p>
      <w:pPr>
        <w:pStyle w:val="10"/>
        <w:spacing w:line="360" w:lineRule="auto"/>
        <w:ind w:firstLine="420" w:firstLineChars="200"/>
        <w:rPr>
          <w:rFonts w:hint="eastAsia" w:ascii="宋体" w:hAnsi="Calibri" w:cs="宋体"/>
          <w:sz w:val="18"/>
          <w:szCs w:val="18"/>
        </w:rPr>
      </w:pPr>
      <w:r>
        <w:rPr>
          <w:rFonts w:hint="eastAsia" w:hAnsi="宋体"/>
          <w:sz w:val="21"/>
          <w:szCs w:val="21"/>
          <w:lang w:val="en-GB"/>
        </w:rPr>
        <w:t>乙方没有按规定提供巡检服务；</w:t>
      </w: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ind w:firstLine="360" w:firstLineChars="200"/>
        <w:rPr>
          <w:rFonts w:hint="eastAsia" w:ascii="宋体" w:hAnsi="Calibri" w:cs="宋体"/>
          <w:color w:val="FF0000"/>
          <w:sz w:val="18"/>
          <w:szCs w:val="18"/>
        </w:rPr>
      </w:pPr>
    </w:p>
    <w:p>
      <w:pPr>
        <w:pStyle w:val="10"/>
        <w:spacing w:line="360" w:lineRule="auto"/>
        <w:rPr>
          <w:rFonts w:ascii="宋体" w:hAnsi="Calibri" w:cs="宋体"/>
          <w:color w:val="FF0000"/>
          <w:sz w:val="18"/>
          <w:szCs w:val="18"/>
        </w:rPr>
      </w:pPr>
    </w:p>
    <w:p>
      <w:pPr>
        <w:pStyle w:val="10"/>
        <w:spacing w:line="360" w:lineRule="auto"/>
        <w:rPr>
          <w:rFonts w:ascii="宋体" w:hAnsi="Calibri" w:cs="宋体"/>
          <w:color w:val="FF0000"/>
          <w:sz w:val="18"/>
          <w:szCs w:val="18"/>
        </w:rPr>
      </w:pPr>
    </w:p>
    <w:p>
      <w:pPr>
        <w:pStyle w:val="10"/>
        <w:spacing w:line="360" w:lineRule="auto"/>
        <w:rPr>
          <w:rFonts w:ascii="宋体" w:hAnsi="Calibri" w:cs="宋体"/>
          <w:color w:val="FF0000"/>
          <w:sz w:val="18"/>
          <w:szCs w:val="18"/>
        </w:rPr>
      </w:pPr>
    </w:p>
    <w:p>
      <w:pPr>
        <w:pStyle w:val="10"/>
        <w:spacing w:line="360" w:lineRule="auto"/>
        <w:rPr>
          <w:rFonts w:ascii="宋体" w:hAnsi="Calibri" w:cs="宋体"/>
          <w:color w:val="FF0000"/>
          <w:sz w:val="18"/>
          <w:szCs w:val="18"/>
        </w:rPr>
      </w:pPr>
    </w:p>
    <w:p>
      <w:pPr>
        <w:pStyle w:val="10"/>
        <w:spacing w:line="360" w:lineRule="auto"/>
        <w:rPr>
          <w:rFonts w:hAnsi="宋体"/>
          <w:color w:val="FF0000"/>
          <w:szCs w:val="21"/>
        </w:rPr>
      </w:pPr>
    </w:p>
    <w:p>
      <w:pPr>
        <w:pStyle w:val="2"/>
        <w:spacing w:before="0" w:after="0" w:line="360" w:lineRule="auto"/>
        <w:jc w:val="center"/>
        <w:rPr>
          <w:rFonts w:ascii="华文新魏" w:eastAsia="华文新魏"/>
          <w:sz w:val="72"/>
          <w:szCs w:val="72"/>
        </w:rPr>
      </w:pPr>
      <w:bookmarkStart w:id="36" w:name="_Toc161306881"/>
      <w:r>
        <w:rPr>
          <w:rFonts w:hint="eastAsia" w:ascii="华文新魏" w:eastAsia="华文新魏"/>
          <w:sz w:val="72"/>
          <w:szCs w:val="72"/>
        </w:rPr>
        <w:t>第三章 评审办法</w:t>
      </w:r>
      <w:bookmarkEnd w:id="27"/>
      <w:bookmarkEnd w:id="28"/>
      <w:bookmarkEnd w:id="36"/>
    </w:p>
    <w:p>
      <w:pPr>
        <w:numPr>
          <w:ilvl w:val="0"/>
          <w:numId w:val="4"/>
        </w:numPr>
        <w:spacing w:line="360" w:lineRule="auto"/>
        <w:rPr>
          <w:rFonts w:hint="eastAsia" w:ascii="黑体" w:hAnsi="黑体" w:eastAsia="黑体"/>
          <w:b/>
          <w:sz w:val="32"/>
          <w:szCs w:val="32"/>
        </w:rPr>
      </w:pPr>
      <w:r>
        <w:rPr>
          <w:rFonts w:hint="eastAsia" w:ascii="黑体" w:hAnsi="黑体" w:eastAsia="黑体"/>
          <w:b/>
          <w:sz w:val="32"/>
          <w:szCs w:val="32"/>
        </w:rPr>
        <w:t>评审方法</w:t>
      </w:r>
    </w:p>
    <w:p>
      <w:pPr>
        <w:spacing w:line="400" w:lineRule="exact"/>
        <w:rPr>
          <w:rFonts w:hint="eastAsia"/>
        </w:rPr>
      </w:pPr>
      <w:r>
        <w:rPr>
          <w:rFonts w:hint="eastAsia"/>
        </w:rPr>
        <w:t>1.本项目采用</w:t>
      </w:r>
      <w:r>
        <w:rPr>
          <w:rFonts w:hint="eastAsia"/>
          <w:b/>
          <w:u w:val="single"/>
        </w:rPr>
        <w:t>竞争性磋商</w:t>
      </w:r>
      <w:r>
        <w:rPr>
          <w:rFonts w:hint="eastAsia"/>
        </w:rPr>
        <w:t>的方式进行采购。</w:t>
      </w:r>
    </w:p>
    <w:p>
      <w:pPr>
        <w:spacing w:line="400" w:lineRule="exact"/>
      </w:pPr>
      <w:r>
        <w:rPr>
          <w:rFonts w:hint="eastAsia"/>
        </w:rPr>
        <w:t>2.</w:t>
      </w:r>
      <w:r>
        <w:rPr>
          <w:bCs/>
        </w:rPr>
        <w:t>评标方法：</w:t>
      </w:r>
      <w:r>
        <w:rPr>
          <w:rFonts w:hint="eastAsia"/>
          <w:b/>
          <w:bCs/>
          <w:u w:val="single"/>
        </w:rPr>
        <w:t>综合评分法</w:t>
      </w:r>
      <w:r>
        <w:rPr>
          <w:bCs/>
        </w:rPr>
        <w:t>（新价格分算法）</w:t>
      </w:r>
      <w:r>
        <w:rPr>
          <w:rFonts w:hint="eastAsia"/>
          <w:bCs/>
        </w:rPr>
        <w:t>。（先进行三轮报价、磋商，再综合评分）</w:t>
      </w:r>
    </w:p>
    <w:p>
      <w:pPr>
        <w:spacing w:line="400" w:lineRule="exact"/>
        <w:ind w:firstLine="422" w:firstLineChars="200"/>
        <w:rPr>
          <w:rFonts w:hint="eastAsia"/>
          <w:b/>
          <w:szCs w:val="21"/>
        </w:rPr>
      </w:pPr>
      <w:r>
        <w:rPr>
          <w:rFonts w:hint="eastAsia"/>
          <w:b/>
          <w:szCs w:val="21"/>
        </w:rPr>
        <w:t>2.1符合性检查</w:t>
      </w:r>
    </w:p>
    <w:p>
      <w:pPr>
        <w:spacing w:line="400" w:lineRule="exact"/>
        <w:ind w:firstLine="420" w:firstLineChars="200"/>
        <w:rPr>
          <w:rFonts w:hint="eastAsia"/>
          <w:szCs w:val="21"/>
        </w:rPr>
      </w:pPr>
      <w:r>
        <w:t>只有逐条通过《符合性检查表》各项检查的</w:t>
      </w:r>
      <w:r>
        <w:rPr>
          <w:rFonts w:hint="eastAsia"/>
        </w:rPr>
        <w:t>供应商，结论</w:t>
      </w:r>
      <w:r>
        <w:rPr>
          <w:rFonts w:ascii="宋体" w:hAnsi="宋体"/>
        </w:rPr>
        <w:t>为“合格”</w:t>
      </w:r>
      <w:r>
        <w:rPr>
          <w:rFonts w:hint="eastAsia" w:ascii="宋体" w:hAnsi="宋体"/>
        </w:rPr>
        <w:t>才能</w:t>
      </w:r>
      <w:r>
        <w:t>进入下一阶段的</w:t>
      </w:r>
      <w:r>
        <w:rPr>
          <w:rFonts w:hint="eastAsia"/>
        </w:rPr>
        <w:t>磋商</w:t>
      </w:r>
      <w:r>
        <w:t>。</w:t>
      </w:r>
    </w:p>
    <w:p>
      <w:pPr>
        <w:spacing w:line="400" w:lineRule="exact"/>
        <w:ind w:firstLine="422" w:firstLineChars="200"/>
        <w:rPr>
          <w:rFonts w:hint="eastAsia"/>
          <w:b/>
        </w:rPr>
      </w:pPr>
      <w:r>
        <w:rPr>
          <w:rFonts w:hint="eastAsia"/>
          <w:b/>
          <w:szCs w:val="21"/>
        </w:rPr>
        <w:t>2.2</w:t>
      </w:r>
      <w:r>
        <w:rPr>
          <w:rFonts w:hint="eastAsia"/>
          <w:b/>
        </w:rPr>
        <w:t>磋商方式及报价程序</w:t>
      </w:r>
    </w:p>
    <w:p>
      <w:pPr>
        <w:spacing w:line="400" w:lineRule="exact"/>
        <w:ind w:firstLine="420" w:firstLineChars="200"/>
        <w:rPr>
          <w:rFonts w:hint="eastAsia"/>
          <w:b/>
        </w:rPr>
      </w:pPr>
      <w:r>
        <w:rPr>
          <w:rFonts w:hint="eastAsia" w:ascii="宋体" w:hAnsi="宋体"/>
        </w:rPr>
        <w:t>本项目第三轮报价即为供应商的</w:t>
      </w:r>
      <w:r>
        <w:rPr>
          <w:rFonts w:hint="eastAsia" w:ascii="宋体" w:hAnsi="宋体"/>
          <w:b/>
        </w:rPr>
        <w:t>最终</w:t>
      </w:r>
      <w:r>
        <w:rPr>
          <w:rFonts w:hint="eastAsia" w:ascii="宋体" w:hAnsi="宋体"/>
        </w:rPr>
        <w:t>报价。</w:t>
      </w:r>
    </w:p>
    <w:p>
      <w:pPr>
        <w:spacing w:line="400" w:lineRule="exact"/>
        <w:ind w:firstLine="420" w:firstLineChars="200"/>
      </w:pPr>
      <w:r>
        <w:t>2.2.1</w:t>
      </w:r>
      <w:r>
        <w:rPr>
          <w:rFonts w:hAnsi="宋体"/>
        </w:rPr>
        <w:t>本项目的磋商</w:t>
      </w:r>
      <w:r>
        <w:rPr>
          <w:rFonts w:hint="eastAsia" w:hAnsi="宋体"/>
        </w:rPr>
        <w:t>仅为1</w:t>
      </w:r>
      <w:r>
        <w:rPr>
          <w:rFonts w:hAnsi="宋体"/>
        </w:rPr>
        <w:t>次，报价共分三轮，具体顺序为：</w:t>
      </w:r>
      <w:r>
        <w:rPr>
          <w:rFonts w:hint="eastAsia" w:hAnsi="宋体"/>
        </w:rPr>
        <w:t>第一轮报价（应答文件中的报价）—&gt;第二轮报价（现场报价）—&gt;磋商（磋商小组分别跟各个供应商磋商）—&gt;第三轮报价（最终报价）</w:t>
      </w:r>
      <w:r>
        <w:rPr>
          <w:rFonts w:hAnsi="宋体"/>
        </w:rPr>
        <w:t>。</w:t>
      </w:r>
    </w:p>
    <w:p>
      <w:pPr>
        <w:spacing w:line="400" w:lineRule="exact"/>
        <w:ind w:firstLine="420" w:firstLineChars="200"/>
      </w:pPr>
      <w:r>
        <w:t>2.2.2</w:t>
      </w:r>
      <w:r>
        <w:rPr>
          <w:rFonts w:hAnsi="宋体"/>
        </w:rPr>
        <w:t>磋商小组所有成员集中与单一供应商分别进行磋商（供应商参加磋商的代表，必须是法人代表或法人代表授权委托人）。</w:t>
      </w:r>
    </w:p>
    <w:p>
      <w:pPr>
        <w:spacing w:line="400" w:lineRule="exact"/>
        <w:ind w:firstLine="420" w:firstLineChars="200"/>
      </w:pPr>
      <w:r>
        <w:t>2.2.3</w:t>
      </w:r>
      <w:r>
        <w:rPr>
          <w:rFonts w:hint="eastAsia" w:hAnsi="宋体"/>
        </w:rPr>
        <w:t>磋商</w:t>
      </w:r>
      <w:r>
        <w:rPr>
          <w:rFonts w:hAnsi="宋体"/>
        </w:rPr>
        <w:t>结束后，磋商小组要求参加磋商的供应商</w:t>
      </w:r>
      <w:r>
        <w:rPr>
          <w:rFonts w:hint="eastAsia" w:hAnsi="宋体"/>
        </w:rPr>
        <w:t>就提出的问题（关于项目的资格条件、商务、技术等）给以答复</w:t>
      </w:r>
      <w:r>
        <w:rPr>
          <w:rFonts w:hAnsi="宋体"/>
        </w:rPr>
        <w:t>。</w:t>
      </w:r>
    </w:p>
    <w:p>
      <w:pPr>
        <w:spacing w:line="400" w:lineRule="exact"/>
        <w:ind w:firstLine="420" w:firstLineChars="200"/>
        <w:rPr>
          <w:rFonts w:hint="eastAsia"/>
        </w:rPr>
      </w:pPr>
      <w:r>
        <w:t>2.2.4磋商小组于次论</w:t>
      </w:r>
      <w:r>
        <w:rPr>
          <w:rFonts w:hint="eastAsia"/>
        </w:rPr>
        <w:t>报价</w:t>
      </w:r>
      <w:r>
        <w:t>开始前向所有参加磋商的供应商公布各供应商前一轮报价排名，但不得透露各供应商的具体报价金额及文件内容。</w:t>
      </w:r>
    </w:p>
    <w:p>
      <w:pPr>
        <w:spacing w:line="400" w:lineRule="exact"/>
        <w:ind w:firstLine="420" w:firstLineChars="200"/>
        <w:rPr>
          <w:rFonts w:hint="eastAsia" w:hAnsi="宋体"/>
        </w:rPr>
      </w:pPr>
      <w:r>
        <w:rPr>
          <w:rFonts w:hint="eastAsia"/>
        </w:rPr>
        <w:t>2.2.5</w:t>
      </w:r>
      <w:r>
        <w:rPr>
          <w:rFonts w:hint="eastAsia" w:hAnsi="宋体"/>
        </w:rPr>
        <w:t>最后一轮报价</w:t>
      </w:r>
      <w:r>
        <w:rPr>
          <w:rFonts w:hAnsi="宋体"/>
        </w:rPr>
        <w:t>结束后，磋商小组要求参加磋商的供应商在规定的时间内提交最终报价及有关承诺。</w:t>
      </w:r>
    </w:p>
    <w:p>
      <w:pPr>
        <w:spacing w:line="400" w:lineRule="exact"/>
        <w:ind w:firstLine="420" w:firstLineChars="200"/>
        <w:rPr>
          <w:rFonts w:hint="eastAsia" w:hAnsi="宋体"/>
        </w:rPr>
      </w:pPr>
      <w:r>
        <w:rPr>
          <w:rFonts w:hint="eastAsia" w:hAnsi="宋体"/>
        </w:rPr>
        <w:t>2.2.6报价方式：所有参加磋商的供应商须根据与磋商小组每轮磋商的磋商结果，在磋商小组规定的时间内进行该轮次报价及有关承诺并填写该轮次《报价及承诺一览表》（表格由招标机构提供）。</w:t>
      </w:r>
    </w:p>
    <w:p>
      <w:pPr>
        <w:spacing w:line="400" w:lineRule="exact"/>
        <w:ind w:firstLine="420" w:firstLineChars="200"/>
      </w:pPr>
      <w:r>
        <w:rPr>
          <w:rFonts w:hint="eastAsia" w:hAnsi="宋体"/>
        </w:rPr>
        <w:t>2.2.7最终报价即为最终合同金额。</w:t>
      </w:r>
    </w:p>
    <w:p>
      <w:pPr>
        <w:spacing w:line="400" w:lineRule="exact"/>
        <w:ind w:firstLine="422" w:firstLineChars="200"/>
        <w:rPr>
          <w:rFonts w:hint="eastAsia"/>
          <w:b/>
          <w:szCs w:val="21"/>
        </w:rPr>
      </w:pPr>
      <w:r>
        <w:rPr>
          <w:rFonts w:hint="eastAsia"/>
          <w:b/>
          <w:szCs w:val="21"/>
        </w:rPr>
        <w:t>2.3</w:t>
      </w:r>
      <w:r>
        <w:rPr>
          <w:b/>
          <w:bCs/>
        </w:rPr>
        <w:t>综合评分法</w:t>
      </w:r>
    </w:p>
    <w:p>
      <w:pPr>
        <w:spacing w:line="400" w:lineRule="exact"/>
        <w:ind w:firstLine="435"/>
        <w:rPr>
          <w:rFonts w:hint="eastAsia"/>
        </w:rPr>
      </w:pPr>
      <w:r>
        <w:t>综合评分法，是指</w:t>
      </w:r>
      <w:r>
        <w:rPr>
          <w:rFonts w:hint="eastAsia"/>
        </w:rPr>
        <w:t>磋商应答</w:t>
      </w:r>
      <w:r>
        <w:t>文件满足</w:t>
      </w:r>
      <w:r>
        <w:rPr>
          <w:rFonts w:hint="eastAsia" w:hAnsi="宋体"/>
        </w:rPr>
        <w:t>竞争性磋商文件</w:t>
      </w:r>
      <w:r>
        <w:t>全部实质性要求，且按照评审因素的量化指标评审得分最高的</w:t>
      </w:r>
      <w:r>
        <w:rPr>
          <w:rFonts w:hint="eastAsia" w:ascii="宋体" w:hAnsi="宋体"/>
          <w:szCs w:val="21"/>
        </w:rPr>
        <w:t>供应商</w:t>
      </w:r>
      <w:r>
        <w:t>为</w:t>
      </w:r>
      <w:r>
        <w:rPr>
          <w:rFonts w:hint="eastAsia"/>
        </w:rPr>
        <w:t>成交</w:t>
      </w:r>
      <w:r>
        <w:t xml:space="preserve">候选人的评标方法。 </w:t>
      </w:r>
    </w:p>
    <w:p>
      <w:pPr>
        <w:spacing w:line="400" w:lineRule="exact"/>
      </w:pPr>
      <w:r>
        <w:rPr>
          <w:rFonts w:hint="eastAsia"/>
        </w:rPr>
        <w:t xml:space="preserve">    2.3.1</w:t>
      </w:r>
      <w:r>
        <w:t>价格分计算方法：</w:t>
      </w:r>
    </w:p>
    <w:p>
      <w:pPr>
        <w:spacing w:line="400" w:lineRule="exact"/>
        <w:ind w:firstLine="435"/>
        <w:rPr>
          <w:rFonts w:hint="eastAsia"/>
        </w:rPr>
      </w:pPr>
      <w:r>
        <w:t>采用低价优先法计算，</w:t>
      </w:r>
      <w:r>
        <w:rPr>
          <w:rFonts w:hint="eastAsia"/>
        </w:rPr>
        <w:t>磋商小组以所有通过了符合性检查的</w:t>
      </w:r>
      <w:r>
        <w:rPr>
          <w:rFonts w:hint="eastAsia" w:ascii="宋体" w:hAnsi="宋体"/>
          <w:szCs w:val="21"/>
        </w:rPr>
        <w:t>供应商</w:t>
      </w:r>
      <w:r>
        <w:rPr>
          <w:rFonts w:hint="eastAsia"/>
        </w:rPr>
        <w:t>评审报价中的最低价为</w:t>
      </w:r>
      <w:r>
        <w:rPr>
          <w:rFonts w:hint="eastAsia"/>
          <w:szCs w:val="21"/>
        </w:rPr>
        <w:t>磋商基准价</w:t>
      </w:r>
      <w:r>
        <w:t>，其价格分为满分。其他</w:t>
      </w:r>
      <w:r>
        <w:rPr>
          <w:rFonts w:hint="eastAsia" w:ascii="宋体" w:hAnsi="宋体"/>
          <w:szCs w:val="21"/>
        </w:rPr>
        <w:t>供应商</w:t>
      </w:r>
      <w:r>
        <w:t>的价格分统一按照下列公式计算：</w:t>
      </w:r>
    </w:p>
    <w:p>
      <w:pPr>
        <w:spacing w:line="400" w:lineRule="exact"/>
        <w:ind w:firstLine="422" w:firstLineChars="200"/>
        <w:rPr>
          <w:rFonts w:hint="eastAsia"/>
          <w:b/>
          <w:bCs/>
        </w:rPr>
      </w:pPr>
      <w:r>
        <w:rPr>
          <w:rFonts w:hint="eastAsia"/>
          <w:b/>
          <w:bCs/>
        </w:rPr>
        <w:t>投标报价得分=(磋商基准价/评审报价)×10%×100</w:t>
      </w:r>
    </w:p>
    <w:p>
      <w:pPr>
        <w:spacing w:line="400" w:lineRule="exact"/>
        <w:ind w:firstLine="420" w:firstLineChars="200"/>
        <w:rPr>
          <w:b/>
          <w:bCs/>
        </w:rPr>
      </w:pPr>
      <w:r>
        <w:rPr>
          <w:rFonts w:hint="eastAsia"/>
        </w:rPr>
        <w:t>评审</w:t>
      </w:r>
      <w:r>
        <w:t>过程中，不得去掉报价中的最高报价和最低报价。</w:t>
      </w:r>
    </w:p>
    <w:p>
      <w:pPr>
        <w:spacing w:line="400" w:lineRule="exact"/>
        <w:ind w:firstLine="420" w:firstLineChars="200"/>
        <w:rPr>
          <w:rFonts w:hAnsi="宋体"/>
        </w:rPr>
      </w:pPr>
      <w:bookmarkStart w:id="37" w:name="Sixdefen10"/>
      <w:bookmarkEnd w:id="37"/>
      <w:r>
        <w:rPr>
          <w:rFonts w:hint="eastAsia" w:hAnsi="宋体"/>
        </w:rPr>
        <w:t>2.3.2将供应商的技术、商务和价格得分相加，即得出供应商的综合得分，得分四舍五入精确到小数点后两位。</w:t>
      </w:r>
    </w:p>
    <w:p>
      <w:pPr>
        <w:spacing w:line="400" w:lineRule="exact"/>
        <w:ind w:firstLine="420" w:firstLineChars="200"/>
        <w:rPr>
          <w:rFonts w:hint="eastAsia" w:hAnsi="宋体"/>
        </w:rPr>
      </w:pPr>
      <w:r>
        <w:rPr>
          <w:rFonts w:hint="eastAsia" w:hAnsi="宋体"/>
        </w:rPr>
        <w:t>2.3.3</w:t>
      </w:r>
      <w:r>
        <w:rPr>
          <w:rFonts w:ascii="宋体" w:hAnsi="宋体"/>
          <w:b/>
          <w:lang w:val="zh-TW" w:eastAsia="zh-TW"/>
        </w:rPr>
        <w:t>综合得分排名</w:t>
      </w:r>
      <w:r>
        <w:rPr>
          <w:rFonts w:hint="eastAsia" w:ascii="宋体" w:hAnsi="宋体"/>
          <w:b/>
          <w:lang w:val="zh-TW"/>
        </w:rPr>
        <w:t>第一的</w:t>
      </w:r>
      <w:r>
        <w:rPr>
          <w:rFonts w:hint="eastAsia" w:hAnsi="宋体"/>
          <w:b/>
        </w:rPr>
        <w:t>供应商</w:t>
      </w:r>
      <w:r>
        <w:rPr>
          <w:rFonts w:ascii="宋体" w:hAnsi="宋体"/>
          <w:b/>
          <w:lang w:val="zh-TW" w:eastAsia="zh-TW"/>
        </w:rPr>
        <w:t>为</w:t>
      </w:r>
      <w:r>
        <w:rPr>
          <w:rFonts w:hint="eastAsia" w:ascii="宋体" w:hAnsi="宋体"/>
          <w:b/>
          <w:lang w:val="zh-TW"/>
        </w:rPr>
        <w:t>成交</w:t>
      </w:r>
      <w:r>
        <w:rPr>
          <w:rFonts w:ascii="宋体" w:hAnsi="宋体"/>
          <w:b/>
          <w:lang w:val="zh-TW" w:eastAsia="zh-TW"/>
        </w:rPr>
        <w:t>供应商</w:t>
      </w:r>
      <w:r>
        <w:rPr>
          <w:rFonts w:hint="eastAsia" w:ascii="宋体" w:hAnsi="宋体"/>
          <w:lang w:val="zh-TW"/>
        </w:rPr>
        <w:t>，第二、三名</w:t>
      </w:r>
      <w:r>
        <w:rPr>
          <w:rFonts w:hint="eastAsia" w:hAnsi="宋体"/>
        </w:rPr>
        <w:t>供应商</w:t>
      </w:r>
      <w:r>
        <w:rPr>
          <w:rFonts w:hint="eastAsia" w:ascii="宋体" w:hAnsi="宋体"/>
          <w:lang w:val="zh-TW"/>
        </w:rPr>
        <w:t>作为备选供应商</w:t>
      </w:r>
      <w:r>
        <w:rPr>
          <w:rFonts w:ascii="宋体" w:hAnsi="宋体"/>
          <w:lang w:val="zh-TW" w:eastAsia="zh-TW"/>
        </w:rPr>
        <w:t>。</w:t>
      </w:r>
      <w:r>
        <w:rPr>
          <w:rFonts w:hint="eastAsia" w:hAnsi="宋体"/>
        </w:rPr>
        <w:t>如综合得分相同时，最终报价低者优先。若综合得分且最终报价相同的，以技术分高者优先。</w:t>
      </w:r>
    </w:p>
    <w:p>
      <w:pPr>
        <w:spacing w:line="400" w:lineRule="exact"/>
        <w:ind w:firstLine="420" w:firstLineChars="200"/>
        <w:rPr>
          <w:rFonts w:hAnsi="宋体"/>
          <w:color w:val="FF0000"/>
        </w:rPr>
      </w:pPr>
    </w:p>
    <w:p>
      <w:pPr>
        <w:numPr>
          <w:ilvl w:val="0"/>
          <w:numId w:val="4"/>
        </w:numPr>
        <w:spacing w:line="360" w:lineRule="auto"/>
        <w:rPr>
          <w:rFonts w:hint="eastAsia" w:ascii="黑体" w:hAnsi="黑体" w:eastAsia="黑体"/>
          <w:b/>
          <w:sz w:val="32"/>
          <w:szCs w:val="32"/>
        </w:rPr>
      </w:pPr>
      <w:bookmarkStart w:id="38" w:name="_Toc180831529"/>
      <w:bookmarkStart w:id="39" w:name="_Toc184089380"/>
      <w:r>
        <w:rPr>
          <w:rFonts w:ascii="黑体" w:hAnsi="黑体" w:eastAsia="黑体"/>
          <w:b/>
          <w:sz w:val="32"/>
          <w:szCs w:val="32"/>
        </w:rPr>
        <w:t>评</w:t>
      </w:r>
      <w:r>
        <w:rPr>
          <w:rFonts w:hint="eastAsia" w:ascii="黑体" w:hAnsi="黑体" w:eastAsia="黑体"/>
          <w:b/>
          <w:sz w:val="32"/>
          <w:szCs w:val="32"/>
        </w:rPr>
        <w:t>标表格</w:t>
      </w:r>
      <w:bookmarkEnd w:id="38"/>
      <w:bookmarkEnd w:id="39"/>
    </w:p>
    <w:p>
      <w:pPr>
        <w:spacing w:line="360" w:lineRule="auto"/>
        <w:rPr>
          <w:b/>
        </w:rPr>
      </w:pPr>
      <w:r>
        <w:rPr>
          <w:rFonts w:hint="eastAsia" w:ascii="宋体" w:hAnsi="宋体"/>
          <w:b/>
          <w:bCs/>
          <w:sz w:val="24"/>
        </w:rPr>
        <w:t>表1：《</w:t>
      </w:r>
      <w:r>
        <w:rPr>
          <w:rFonts w:ascii="宋体" w:hAnsi="宋体"/>
          <w:b/>
          <w:bCs/>
          <w:sz w:val="24"/>
        </w:rPr>
        <w:t>符合性检查</w:t>
      </w:r>
      <w:r>
        <w:rPr>
          <w:rFonts w:hint="eastAsia" w:ascii="宋体" w:hAnsi="宋体"/>
          <w:b/>
          <w:bCs/>
          <w:sz w:val="24"/>
        </w:rPr>
        <w:t>表》</w:t>
      </w:r>
    </w:p>
    <w:tbl>
      <w:tblPr>
        <w:tblStyle w:val="26"/>
        <w:tblW w:w="8850" w:type="dxa"/>
        <w:tblCellSpacing w:w="0" w:type="dxa"/>
        <w:tblInd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597"/>
        <w:gridCol w:w="6379"/>
        <w:gridCol w:w="1874"/>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blCellSpacing w:w="0" w:type="dxa"/>
        </w:trPr>
        <w:tc>
          <w:tcPr>
            <w:tcW w:w="597" w:type="dxa"/>
            <w:tcBorders>
              <w:top w:val="outset" w:color="DDDDDD" w:sz="6" w:space="0"/>
              <w:left w:val="outset" w:color="DDDDDD" w:sz="6" w:space="0"/>
              <w:bottom w:val="outset" w:color="DDDDDD" w:sz="6" w:space="0"/>
              <w:right w:val="outset" w:color="auto" w:sz="6" w:space="0"/>
            </w:tcBorders>
            <w:shd w:val="clear" w:color="auto" w:fill="EEEEEE"/>
            <w:noWrap w:val="0"/>
            <w:vAlign w:val="center"/>
          </w:tcPr>
          <w:p>
            <w:pPr>
              <w:spacing w:line="276" w:lineRule="auto"/>
              <w:jc w:val="center"/>
              <w:rPr>
                <w:rFonts w:ascii="宋体" w:hAnsi="宋体"/>
              </w:rPr>
            </w:pPr>
            <w:r>
              <w:rPr>
                <w:rFonts w:hint="eastAsia" w:ascii="宋体" w:hAnsi="宋体"/>
              </w:rPr>
              <w:t>序号</w:t>
            </w:r>
          </w:p>
        </w:tc>
        <w:tc>
          <w:tcPr>
            <w:tcW w:w="6379" w:type="dxa"/>
            <w:tcBorders>
              <w:top w:val="outset" w:color="DDDDDD" w:sz="6" w:space="0"/>
              <w:left w:val="outset" w:color="auto" w:sz="6" w:space="0"/>
              <w:bottom w:val="outset" w:color="DDDDDD" w:sz="6" w:space="0"/>
              <w:right w:val="outset" w:color="DDDDDD" w:sz="6" w:space="0"/>
            </w:tcBorders>
            <w:shd w:val="clear" w:color="auto" w:fill="EEEEEE"/>
            <w:noWrap w:val="0"/>
            <w:vAlign w:val="center"/>
          </w:tcPr>
          <w:p>
            <w:pPr>
              <w:spacing w:line="276" w:lineRule="auto"/>
              <w:jc w:val="center"/>
              <w:rPr>
                <w:rFonts w:ascii="宋体" w:hAnsi="宋体"/>
              </w:rPr>
            </w:pPr>
            <w:r>
              <w:rPr>
                <w:rFonts w:hint="eastAsia" w:ascii="宋体" w:hAnsi="宋体"/>
              </w:rPr>
              <w:t>内    容</w:t>
            </w:r>
          </w:p>
        </w:tc>
        <w:tc>
          <w:tcPr>
            <w:tcW w:w="1874" w:type="dxa"/>
            <w:tcBorders>
              <w:top w:val="outset" w:color="DDDDDD" w:sz="6" w:space="0"/>
              <w:left w:val="outset" w:color="DDDDDD" w:sz="6" w:space="0"/>
              <w:bottom w:val="outset" w:color="DDDDDD" w:sz="6" w:space="0"/>
              <w:right w:val="outset" w:color="DDDDDD" w:sz="6" w:space="0"/>
            </w:tcBorders>
            <w:shd w:val="clear" w:color="auto" w:fill="EEEEEE"/>
            <w:noWrap w:val="0"/>
            <w:vAlign w:val="center"/>
          </w:tcPr>
          <w:p>
            <w:pPr>
              <w:spacing w:line="276" w:lineRule="auto"/>
              <w:jc w:val="center"/>
              <w:rPr>
                <w:rFonts w:ascii="宋体" w:hAnsi="宋体"/>
              </w:rPr>
            </w:pPr>
            <w:r>
              <w:rPr>
                <w:rFonts w:hint="eastAsia" w:ascii="宋体" w:hAnsi="宋体"/>
              </w:rPr>
              <w:t>标    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blCellSpacing w:w="0" w:type="dxa"/>
        </w:trPr>
        <w:tc>
          <w:tcPr>
            <w:tcW w:w="597" w:type="dxa"/>
            <w:tcBorders>
              <w:top w:val="outset" w:color="DDDDDD" w:sz="6" w:space="0"/>
              <w:left w:val="outset" w:color="DDDDDD" w:sz="6" w:space="0"/>
              <w:bottom w:val="outset" w:color="DDDDDD" w:sz="6" w:space="0"/>
              <w:right w:val="outset" w:color="auto" w:sz="6" w:space="0"/>
            </w:tcBorders>
            <w:noWrap w:val="0"/>
            <w:vAlign w:val="center"/>
          </w:tcPr>
          <w:p>
            <w:pPr>
              <w:spacing w:line="276" w:lineRule="auto"/>
              <w:jc w:val="center"/>
            </w:pPr>
            <w:r>
              <w:rPr>
                <w:rFonts w:hint="eastAsia"/>
              </w:rPr>
              <w:t>1</w:t>
            </w:r>
          </w:p>
        </w:tc>
        <w:tc>
          <w:tcPr>
            <w:tcW w:w="6379" w:type="dxa"/>
            <w:tcBorders>
              <w:top w:val="outset" w:color="DDDDDD" w:sz="6" w:space="0"/>
              <w:left w:val="outset" w:color="auto" w:sz="6" w:space="0"/>
              <w:bottom w:val="outset" w:color="DDDDDD" w:sz="6" w:space="0"/>
              <w:right w:val="outset" w:color="DDDDDD" w:sz="6" w:space="0"/>
            </w:tcBorders>
            <w:noWrap w:val="0"/>
            <w:vAlign w:val="center"/>
          </w:tcPr>
          <w:p>
            <w:pPr>
              <w:spacing w:line="276" w:lineRule="auto"/>
              <w:rPr>
                <w:rFonts w:hint="eastAsia"/>
              </w:rPr>
            </w:pPr>
            <w:r>
              <w:rPr>
                <w:rFonts w:hint="eastAsia"/>
              </w:rPr>
              <w:t>文件签署</w:t>
            </w:r>
          </w:p>
        </w:tc>
        <w:tc>
          <w:tcPr>
            <w:tcW w:w="1874" w:type="dxa"/>
            <w:tcBorders>
              <w:top w:val="outset" w:color="DDDDDD" w:sz="6" w:space="0"/>
              <w:left w:val="outset" w:color="DDDDDD" w:sz="6" w:space="0"/>
              <w:bottom w:val="outset" w:color="DDDDDD" w:sz="6" w:space="0"/>
              <w:right w:val="outset" w:color="DDDDDD" w:sz="6" w:space="0"/>
            </w:tcBorders>
            <w:noWrap w:val="0"/>
            <w:vAlign w:val="top"/>
          </w:tcPr>
          <w:p>
            <w:pPr>
              <w:spacing w:line="276" w:lineRule="auto"/>
              <w:jc w:val="center"/>
            </w:pPr>
            <w:r>
              <w:rPr>
                <w:rFonts w:hint="eastAsia" w:ascii="宋体" w:hAnsi="宋体"/>
                <w:szCs w:val="21"/>
              </w:rPr>
              <w:t>合格</w:t>
            </w:r>
            <w:r>
              <w:rPr>
                <w:rFonts w:ascii="宋体" w:hAnsi="宋体"/>
                <w:szCs w:val="21"/>
              </w:rPr>
              <w:t>/</w:t>
            </w:r>
            <w:r>
              <w:rPr>
                <w:rFonts w:hint="eastAsia" w:ascii="宋体" w:hAnsi="宋体"/>
                <w:szCs w:val="21"/>
              </w:rPr>
              <w:t>不合格</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blCellSpacing w:w="0" w:type="dxa"/>
        </w:trPr>
        <w:tc>
          <w:tcPr>
            <w:tcW w:w="597" w:type="dxa"/>
            <w:tcBorders>
              <w:top w:val="outset" w:color="DDDDDD" w:sz="6" w:space="0"/>
              <w:left w:val="outset" w:color="DDDDDD" w:sz="6" w:space="0"/>
              <w:bottom w:val="outset" w:color="DDDDDD" w:sz="6" w:space="0"/>
              <w:right w:val="outset" w:color="auto" w:sz="6" w:space="0"/>
            </w:tcBorders>
            <w:noWrap w:val="0"/>
            <w:vAlign w:val="center"/>
          </w:tcPr>
          <w:p>
            <w:pPr>
              <w:spacing w:line="276" w:lineRule="auto"/>
              <w:jc w:val="center"/>
            </w:pPr>
            <w:r>
              <w:rPr>
                <w:rFonts w:hint="eastAsia"/>
              </w:rPr>
              <w:t>2</w:t>
            </w:r>
          </w:p>
        </w:tc>
        <w:tc>
          <w:tcPr>
            <w:tcW w:w="6379" w:type="dxa"/>
            <w:tcBorders>
              <w:top w:val="outset" w:color="DDDDDD" w:sz="6" w:space="0"/>
              <w:left w:val="outset" w:color="auto" w:sz="6" w:space="0"/>
              <w:bottom w:val="outset" w:color="DDDDDD" w:sz="6" w:space="0"/>
              <w:right w:val="outset" w:color="DDDDDD" w:sz="6" w:space="0"/>
            </w:tcBorders>
            <w:noWrap w:val="0"/>
            <w:vAlign w:val="center"/>
          </w:tcPr>
          <w:p>
            <w:pPr>
              <w:spacing w:line="276" w:lineRule="auto"/>
              <w:rPr>
                <w:rFonts w:hint="eastAsia"/>
              </w:rPr>
            </w:pPr>
            <w:r>
              <w:rPr>
                <w:rFonts w:hint="eastAsia"/>
              </w:rPr>
              <w:t>磋商应答函</w:t>
            </w:r>
          </w:p>
        </w:tc>
        <w:tc>
          <w:tcPr>
            <w:tcW w:w="1874" w:type="dxa"/>
            <w:tcBorders>
              <w:top w:val="outset" w:color="DDDDDD" w:sz="6" w:space="0"/>
              <w:left w:val="outset" w:color="DDDDDD" w:sz="6" w:space="0"/>
              <w:bottom w:val="outset" w:color="DDDDDD" w:sz="6" w:space="0"/>
              <w:right w:val="outset" w:color="DDDDDD" w:sz="6" w:space="0"/>
            </w:tcBorders>
            <w:noWrap w:val="0"/>
            <w:vAlign w:val="top"/>
          </w:tcPr>
          <w:p>
            <w:pPr>
              <w:spacing w:line="276" w:lineRule="auto"/>
              <w:jc w:val="center"/>
            </w:pPr>
            <w:r>
              <w:rPr>
                <w:rFonts w:hint="eastAsia" w:ascii="宋体" w:hAnsi="宋体"/>
                <w:szCs w:val="21"/>
              </w:rPr>
              <w:t>合格</w:t>
            </w:r>
            <w:r>
              <w:rPr>
                <w:rFonts w:ascii="宋体" w:hAnsi="宋体"/>
                <w:szCs w:val="21"/>
              </w:rPr>
              <w:t>/</w:t>
            </w:r>
            <w:r>
              <w:rPr>
                <w:rFonts w:hint="eastAsia" w:ascii="宋体" w:hAnsi="宋体"/>
                <w:szCs w:val="21"/>
              </w:rPr>
              <w:t>不合格</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blCellSpacing w:w="0" w:type="dxa"/>
        </w:trPr>
        <w:tc>
          <w:tcPr>
            <w:tcW w:w="597" w:type="dxa"/>
            <w:tcBorders>
              <w:top w:val="outset" w:color="DDDDDD" w:sz="6" w:space="0"/>
              <w:left w:val="outset" w:color="DDDDDD" w:sz="6" w:space="0"/>
              <w:bottom w:val="outset" w:color="DDDDDD" w:sz="6" w:space="0"/>
              <w:right w:val="outset" w:color="auto" w:sz="6" w:space="0"/>
            </w:tcBorders>
            <w:noWrap w:val="0"/>
            <w:vAlign w:val="center"/>
          </w:tcPr>
          <w:p>
            <w:pPr>
              <w:spacing w:line="276" w:lineRule="auto"/>
              <w:jc w:val="center"/>
            </w:pPr>
            <w:r>
              <w:rPr>
                <w:rFonts w:hint="eastAsia"/>
              </w:rPr>
              <w:t>3</w:t>
            </w:r>
          </w:p>
        </w:tc>
        <w:tc>
          <w:tcPr>
            <w:tcW w:w="6379" w:type="dxa"/>
            <w:tcBorders>
              <w:top w:val="outset" w:color="DDDDDD" w:sz="6" w:space="0"/>
              <w:left w:val="outset" w:color="auto" w:sz="6" w:space="0"/>
              <w:bottom w:val="outset" w:color="DDDDDD" w:sz="6" w:space="0"/>
              <w:right w:val="outset" w:color="DDDDDD" w:sz="6" w:space="0"/>
            </w:tcBorders>
            <w:noWrap w:val="0"/>
            <w:vAlign w:val="center"/>
          </w:tcPr>
          <w:p>
            <w:pPr>
              <w:spacing w:line="276" w:lineRule="auto"/>
              <w:rPr>
                <w:strike/>
              </w:rPr>
            </w:pPr>
            <w:r>
              <w:t>商务</w:t>
            </w:r>
            <w:r>
              <w:rPr>
                <w:rFonts w:hint="eastAsia"/>
              </w:rPr>
              <w:t>条款对照说明表</w:t>
            </w:r>
          </w:p>
        </w:tc>
        <w:tc>
          <w:tcPr>
            <w:tcW w:w="1874" w:type="dxa"/>
            <w:tcBorders>
              <w:top w:val="outset" w:color="DDDDDD" w:sz="6" w:space="0"/>
              <w:left w:val="outset" w:color="DDDDDD" w:sz="6" w:space="0"/>
              <w:bottom w:val="outset" w:color="DDDDDD" w:sz="6" w:space="0"/>
              <w:right w:val="outset" w:color="DDDDDD" w:sz="6" w:space="0"/>
            </w:tcBorders>
            <w:noWrap w:val="0"/>
            <w:vAlign w:val="top"/>
          </w:tcPr>
          <w:p>
            <w:pPr>
              <w:spacing w:line="276" w:lineRule="auto"/>
              <w:jc w:val="center"/>
            </w:pPr>
            <w:r>
              <w:rPr>
                <w:rFonts w:hint="eastAsia" w:ascii="宋体" w:hAnsi="宋体"/>
                <w:szCs w:val="21"/>
              </w:rPr>
              <w:t>合格</w:t>
            </w:r>
            <w:r>
              <w:rPr>
                <w:rFonts w:ascii="宋体" w:hAnsi="宋体"/>
                <w:szCs w:val="21"/>
              </w:rPr>
              <w:t>/</w:t>
            </w:r>
            <w:r>
              <w:rPr>
                <w:rFonts w:hint="eastAsia" w:ascii="宋体" w:hAnsi="宋体"/>
                <w:szCs w:val="21"/>
              </w:rPr>
              <w:t>不合格</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blCellSpacing w:w="0" w:type="dxa"/>
        </w:trPr>
        <w:tc>
          <w:tcPr>
            <w:tcW w:w="597" w:type="dxa"/>
            <w:tcBorders>
              <w:top w:val="outset" w:color="DDDDDD" w:sz="6" w:space="0"/>
              <w:left w:val="outset" w:color="DDDDDD" w:sz="6" w:space="0"/>
              <w:bottom w:val="outset" w:color="DDDDDD" w:sz="6" w:space="0"/>
              <w:right w:val="outset" w:color="auto" w:sz="6" w:space="0"/>
            </w:tcBorders>
            <w:noWrap w:val="0"/>
            <w:vAlign w:val="center"/>
          </w:tcPr>
          <w:p>
            <w:pPr>
              <w:spacing w:line="276" w:lineRule="auto"/>
              <w:jc w:val="center"/>
            </w:pPr>
            <w:r>
              <w:rPr>
                <w:rFonts w:hint="eastAsia"/>
              </w:rPr>
              <w:t>4</w:t>
            </w:r>
          </w:p>
        </w:tc>
        <w:tc>
          <w:tcPr>
            <w:tcW w:w="6379" w:type="dxa"/>
            <w:tcBorders>
              <w:top w:val="outset" w:color="DDDDDD" w:sz="6" w:space="0"/>
              <w:left w:val="outset" w:color="auto" w:sz="6" w:space="0"/>
              <w:bottom w:val="outset" w:color="DDDDDD" w:sz="6" w:space="0"/>
              <w:right w:val="outset" w:color="DDDDDD" w:sz="6" w:space="0"/>
            </w:tcBorders>
            <w:noWrap w:val="0"/>
            <w:vAlign w:val="center"/>
          </w:tcPr>
          <w:p>
            <w:pPr>
              <w:spacing w:line="276" w:lineRule="auto"/>
              <w:rPr>
                <w:rFonts w:hint="eastAsia"/>
              </w:rPr>
            </w:pPr>
            <w:r>
              <w:rPr>
                <w:rFonts w:hint="eastAsia"/>
              </w:rPr>
              <w:t>技术条款对照说明表</w:t>
            </w:r>
          </w:p>
        </w:tc>
        <w:tc>
          <w:tcPr>
            <w:tcW w:w="1874" w:type="dxa"/>
            <w:tcBorders>
              <w:top w:val="outset" w:color="DDDDDD" w:sz="6" w:space="0"/>
              <w:left w:val="outset" w:color="DDDDDD" w:sz="6" w:space="0"/>
              <w:bottom w:val="outset" w:color="DDDDDD" w:sz="6" w:space="0"/>
              <w:right w:val="outset" w:color="DDDDDD" w:sz="6" w:space="0"/>
            </w:tcBorders>
            <w:noWrap w:val="0"/>
            <w:vAlign w:val="top"/>
          </w:tcPr>
          <w:p>
            <w:pPr>
              <w:spacing w:line="276" w:lineRule="auto"/>
              <w:jc w:val="center"/>
            </w:pPr>
            <w:r>
              <w:rPr>
                <w:rFonts w:hint="eastAsia" w:ascii="宋体" w:hAnsi="宋体"/>
                <w:szCs w:val="21"/>
              </w:rPr>
              <w:t>合格</w:t>
            </w:r>
            <w:r>
              <w:rPr>
                <w:rFonts w:ascii="宋体" w:hAnsi="宋体"/>
                <w:szCs w:val="21"/>
              </w:rPr>
              <w:t>/</w:t>
            </w:r>
            <w:r>
              <w:rPr>
                <w:rFonts w:hint="eastAsia" w:ascii="宋体" w:hAnsi="宋体"/>
                <w:szCs w:val="21"/>
              </w:rPr>
              <w:t>不合格</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02" w:hRule="atLeast"/>
          <w:tblCellSpacing w:w="0" w:type="dxa"/>
        </w:trPr>
        <w:tc>
          <w:tcPr>
            <w:tcW w:w="597" w:type="dxa"/>
            <w:tcBorders>
              <w:top w:val="outset" w:color="DDDDDD" w:sz="6" w:space="0"/>
              <w:left w:val="outset" w:color="DDDDDD" w:sz="6" w:space="0"/>
              <w:bottom w:val="outset" w:color="DDDDDD" w:sz="6" w:space="0"/>
              <w:right w:val="outset" w:color="auto" w:sz="6" w:space="0"/>
            </w:tcBorders>
            <w:noWrap w:val="0"/>
            <w:vAlign w:val="center"/>
          </w:tcPr>
          <w:p>
            <w:pPr>
              <w:spacing w:line="276" w:lineRule="auto"/>
              <w:jc w:val="center"/>
            </w:pPr>
            <w:r>
              <w:rPr>
                <w:rFonts w:hint="eastAsia"/>
              </w:rPr>
              <w:t>5</w:t>
            </w:r>
          </w:p>
        </w:tc>
        <w:tc>
          <w:tcPr>
            <w:tcW w:w="6379" w:type="dxa"/>
            <w:tcBorders>
              <w:top w:val="outset" w:color="DDDDDD" w:sz="6" w:space="0"/>
              <w:left w:val="outset" w:color="auto" w:sz="6" w:space="0"/>
              <w:bottom w:val="outset" w:color="DDDDDD" w:sz="6" w:space="0"/>
              <w:right w:val="outset" w:color="DDDDDD" w:sz="6" w:space="0"/>
            </w:tcBorders>
            <w:noWrap w:val="0"/>
            <w:vAlign w:val="center"/>
          </w:tcPr>
          <w:p>
            <w:pPr>
              <w:spacing w:line="276" w:lineRule="auto"/>
              <w:rPr>
                <w:rFonts w:hint="eastAsia"/>
              </w:rPr>
            </w:pPr>
            <w:r>
              <w:rPr>
                <w:rFonts w:hint="eastAsia"/>
              </w:rPr>
              <w:t>法定代表人证明书及</w:t>
            </w:r>
            <w:r>
              <w:t>法人授权委托</w:t>
            </w:r>
            <w:r>
              <w:rPr>
                <w:rFonts w:hint="eastAsia"/>
              </w:rPr>
              <w:t>证明</w:t>
            </w:r>
            <w:r>
              <w:t>书</w:t>
            </w:r>
            <w:r>
              <w:rPr>
                <w:rFonts w:hint="eastAsia"/>
              </w:rPr>
              <w:t>（法定代表人代表签署时，无需提供</w:t>
            </w:r>
            <w:r>
              <w:t>法人授权委托</w:t>
            </w:r>
            <w:r>
              <w:rPr>
                <w:rFonts w:hint="eastAsia"/>
              </w:rPr>
              <w:t>证明</w:t>
            </w:r>
            <w:r>
              <w:t>书</w:t>
            </w:r>
            <w:r>
              <w:rPr>
                <w:rFonts w:hint="eastAsia"/>
              </w:rPr>
              <w:t>）</w:t>
            </w:r>
          </w:p>
        </w:tc>
        <w:tc>
          <w:tcPr>
            <w:tcW w:w="1874" w:type="dxa"/>
            <w:tcBorders>
              <w:top w:val="outset" w:color="DDDDDD" w:sz="6" w:space="0"/>
              <w:left w:val="outset" w:color="DDDDDD" w:sz="6" w:space="0"/>
              <w:bottom w:val="outset" w:color="DDDDDD" w:sz="6" w:space="0"/>
              <w:right w:val="outset" w:color="DDDDDD" w:sz="6" w:space="0"/>
            </w:tcBorders>
            <w:noWrap w:val="0"/>
            <w:vAlign w:val="center"/>
          </w:tcPr>
          <w:p>
            <w:pPr>
              <w:spacing w:line="276" w:lineRule="auto"/>
              <w:jc w:val="center"/>
            </w:pPr>
            <w:r>
              <w:rPr>
                <w:rFonts w:hint="eastAsia" w:ascii="宋体" w:hAnsi="宋体"/>
                <w:szCs w:val="21"/>
              </w:rPr>
              <w:t>合格</w:t>
            </w:r>
            <w:r>
              <w:rPr>
                <w:rFonts w:ascii="宋体" w:hAnsi="宋体"/>
                <w:szCs w:val="21"/>
              </w:rPr>
              <w:t>/</w:t>
            </w:r>
            <w:r>
              <w:rPr>
                <w:rFonts w:hint="eastAsia" w:ascii="宋体" w:hAnsi="宋体"/>
                <w:szCs w:val="21"/>
              </w:rPr>
              <w:t>不合格</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blCellSpacing w:w="0" w:type="dxa"/>
        </w:trPr>
        <w:tc>
          <w:tcPr>
            <w:tcW w:w="597" w:type="dxa"/>
            <w:tcBorders>
              <w:top w:val="outset" w:color="DDDDDD" w:sz="6" w:space="0"/>
              <w:left w:val="outset" w:color="DDDDDD" w:sz="6" w:space="0"/>
              <w:bottom w:val="outset" w:color="DDDDDD" w:sz="6" w:space="0"/>
              <w:right w:val="outset" w:color="auto" w:sz="6" w:space="0"/>
            </w:tcBorders>
            <w:noWrap w:val="0"/>
            <w:vAlign w:val="center"/>
          </w:tcPr>
          <w:p>
            <w:pPr>
              <w:spacing w:line="276" w:lineRule="auto"/>
              <w:jc w:val="center"/>
              <w:rPr>
                <w:rFonts w:hint="eastAsia"/>
              </w:rPr>
            </w:pPr>
            <w:r>
              <w:rPr>
                <w:rFonts w:hint="eastAsia"/>
              </w:rPr>
              <w:t>6</w:t>
            </w:r>
          </w:p>
        </w:tc>
        <w:tc>
          <w:tcPr>
            <w:tcW w:w="6379" w:type="dxa"/>
            <w:tcBorders>
              <w:top w:val="outset" w:color="DDDDDD" w:sz="6" w:space="0"/>
              <w:left w:val="outset" w:color="auto" w:sz="6" w:space="0"/>
              <w:bottom w:val="outset" w:color="DDDDDD" w:sz="6" w:space="0"/>
              <w:right w:val="outset" w:color="DDDDDD" w:sz="6" w:space="0"/>
            </w:tcBorders>
            <w:noWrap w:val="0"/>
            <w:vAlign w:val="center"/>
          </w:tcPr>
          <w:p>
            <w:pPr>
              <w:spacing w:line="276" w:lineRule="auto"/>
              <w:rPr>
                <w:rFonts w:hint="eastAsia"/>
              </w:rPr>
            </w:pPr>
            <w:r>
              <w:t>资格证明文件</w:t>
            </w:r>
            <w:r>
              <w:rPr>
                <w:rFonts w:hint="eastAsia"/>
              </w:rPr>
              <w:t>（第二章项目要求中要求提供的资格证明文件）</w:t>
            </w:r>
          </w:p>
        </w:tc>
        <w:tc>
          <w:tcPr>
            <w:tcW w:w="1874" w:type="dxa"/>
            <w:tcBorders>
              <w:top w:val="outset" w:color="DDDDDD" w:sz="6" w:space="0"/>
              <w:left w:val="outset" w:color="DDDDDD" w:sz="6" w:space="0"/>
              <w:bottom w:val="outset" w:color="DDDDDD" w:sz="6" w:space="0"/>
              <w:right w:val="outset" w:color="DDDDDD" w:sz="6" w:space="0"/>
            </w:tcBorders>
            <w:noWrap w:val="0"/>
            <w:vAlign w:val="center"/>
          </w:tcPr>
          <w:p>
            <w:pPr>
              <w:spacing w:line="276" w:lineRule="auto"/>
              <w:jc w:val="center"/>
              <w:rPr>
                <w:rFonts w:hint="eastAsia" w:ascii="宋体" w:hAnsi="宋体"/>
                <w:szCs w:val="21"/>
              </w:rPr>
            </w:pPr>
            <w:r>
              <w:rPr>
                <w:rFonts w:hint="eastAsia" w:ascii="宋体" w:hAnsi="宋体"/>
                <w:szCs w:val="21"/>
              </w:rPr>
              <w:t>合格</w:t>
            </w:r>
            <w:r>
              <w:rPr>
                <w:rFonts w:ascii="宋体" w:hAnsi="宋体"/>
                <w:szCs w:val="21"/>
              </w:rPr>
              <w:t>/</w:t>
            </w:r>
            <w:r>
              <w:rPr>
                <w:rFonts w:hint="eastAsia" w:ascii="宋体" w:hAnsi="宋体"/>
                <w:szCs w:val="21"/>
              </w:rPr>
              <w:t>不合格</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blCellSpacing w:w="0" w:type="dxa"/>
        </w:trPr>
        <w:tc>
          <w:tcPr>
            <w:tcW w:w="597" w:type="dxa"/>
            <w:tcBorders>
              <w:top w:val="outset" w:color="DDDDDD" w:sz="6" w:space="0"/>
              <w:left w:val="outset" w:color="DDDDDD" w:sz="6" w:space="0"/>
              <w:bottom w:val="outset" w:color="DDDDDD" w:sz="6" w:space="0"/>
              <w:right w:val="outset" w:color="auto" w:sz="6" w:space="0"/>
            </w:tcBorders>
            <w:noWrap w:val="0"/>
            <w:vAlign w:val="center"/>
          </w:tcPr>
          <w:p>
            <w:pPr>
              <w:spacing w:line="276" w:lineRule="auto"/>
              <w:jc w:val="center"/>
              <w:rPr>
                <w:rFonts w:hint="eastAsia"/>
              </w:rPr>
            </w:pPr>
            <w:r>
              <w:rPr>
                <w:rFonts w:hint="eastAsia"/>
              </w:rPr>
              <w:t>7</w:t>
            </w:r>
          </w:p>
        </w:tc>
        <w:tc>
          <w:tcPr>
            <w:tcW w:w="6379" w:type="dxa"/>
            <w:tcBorders>
              <w:top w:val="outset" w:color="DDDDDD" w:sz="6" w:space="0"/>
              <w:left w:val="outset" w:color="auto" w:sz="6" w:space="0"/>
              <w:bottom w:val="outset" w:color="DDDDDD" w:sz="6" w:space="0"/>
              <w:right w:val="outset" w:color="DDDDDD" w:sz="6" w:space="0"/>
            </w:tcBorders>
            <w:noWrap w:val="0"/>
            <w:vAlign w:val="center"/>
          </w:tcPr>
          <w:p>
            <w:pPr>
              <w:spacing w:line="276" w:lineRule="auto"/>
            </w:pPr>
            <w:r>
              <w:rPr>
                <w:rFonts w:hint="eastAsia"/>
              </w:rPr>
              <w:t>标注（</w:t>
            </w:r>
            <w:r>
              <w:t>"</w:t>
            </w:r>
            <w:r>
              <w:rPr>
                <w:rFonts w:hint="eastAsia"/>
              </w:rPr>
              <w:t>★</w:t>
            </w:r>
            <w:r>
              <w:t>"</w:t>
            </w:r>
            <w:r>
              <w:rPr>
                <w:rFonts w:hint="eastAsia"/>
              </w:rPr>
              <w:t>）号的重要条款</w:t>
            </w:r>
          </w:p>
        </w:tc>
        <w:tc>
          <w:tcPr>
            <w:tcW w:w="1874" w:type="dxa"/>
            <w:tcBorders>
              <w:top w:val="outset" w:color="DDDDDD" w:sz="6" w:space="0"/>
              <w:left w:val="outset" w:color="DDDDDD" w:sz="6" w:space="0"/>
              <w:bottom w:val="outset" w:color="DDDDDD" w:sz="6" w:space="0"/>
              <w:right w:val="outset" w:color="DDDDDD" w:sz="6" w:space="0"/>
            </w:tcBorders>
            <w:noWrap w:val="0"/>
            <w:vAlign w:val="center"/>
          </w:tcPr>
          <w:p>
            <w:pPr>
              <w:spacing w:line="276" w:lineRule="auto"/>
              <w:jc w:val="center"/>
              <w:rPr>
                <w:rFonts w:hint="eastAsia" w:ascii="宋体" w:hAnsi="宋体"/>
                <w:szCs w:val="21"/>
              </w:rPr>
            </w:pPr>
            <w:r>
              <w:rPr>
                <w:rFonts w:hint="eastAsia" w:ascii="宋体" w:hAnsi="宋体"/>
                <w:szCs w:val="21"/>
              </w:rPr>
              <w:t>合格</w:t>
            </w:r>
            <w:r>
              <w:rPr>
                <w:rFonts w:ascii="宋体" w:hAnsi="宋体"/>
                <w:szCs w:val="21"/>
              </w:rPr>
              <w:t>/</w:t>
            </w:r>
            <w:r>
              <w:rPr>
                <w:rFonts w:hint="eastAsia" w:ascii="宋体" w:hAnsi="宋体"/>
                <w:szCs w:val="21"/>
              </w:rPr>
              <w:t>不合格</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blCellSpacing w:w="0" w:type="dxa"/>
        </w:trPr>
        <w:tc>
          <w:tcPr>
            <w:tcW w:w="597" w:type="dxa"/>
            <w:tcBorders>
              <w:top w:val="outset" w:color="DDDDDD" w:sz="6" w:space="0"/>
              <w:left w:val="outset" w:color="DDDDDD" w:sz="6" w:space="0"/>
              <w:bottom w:val="outset" w:color="DDDDDD" w:sz="6" w:space="0"/>
              <w:right w:val="outset" w:color="auto" w:sz="6" w:space="0"/>
            </w:tcBorders>
            <w:noWrap w:val="0"/>
            <w:vAlign w:val="center"/>
          </w:tcPr>
          <w:p>
            <w:pPr>
              <w:spacing w:line="276" w:lineRule="auto"/>
              <w:jc w:val="center"/>
            </w:pPr>
          </w:p>
        </w:tc>
        <w:tc>
          <w:tcPr>
            <w:tcW w:w="6379" w:type="dxa"/>
            <w:tcBorders>
              <w:top w:val="outset" w:color="DDDDDD" w:sz="6" w:space="0"/>
              <w:left w:val="outset" w:color="auto" w:sz="6" w:space="0"/>
              <w:bottom w:val="outset" w:color="DDDDDD" w:sz="6" w:space="0"/>
              <w:right w:val="outset" w:color="DDDDDD" w:sz="6" w:space="0"/>
            </w:tcBorders>
            <w:noWrap w:val="0"/>
            <w:vAlign w:val="center"/>
          </w:tcPr>
          <w:p>
            <w:pPr>
              <w:spacing w:line="276" w:lineRule="auto"/>
              <w:ind w:left="90"/>
              <w:jc w:val="center"/>
              <w:rPr>
                <w:rFonts w:ascii="宋体" w:hAnsi="宋体"/>
              </w:rPr>
            </w:pPr>
            <w:r>
              <w:rPr>
                <w:rFonts w:hint="eastAsia" w:ascii="宋体" w:hAnsi="宋体"/>
              </w:rPr>
              <w:t>结论</w:t>
            </w:r>
          </w:p>
        </w:tc>
        <w:tc>
          <w:tcPr>
            <w:tcW w:w="1874" w:type="dxa"/>
            <w:tcBorders>
              <w:top w:val="outset" w:color="DDDDDD" w:sz="6" w:space="0"/>
              <w:left w:val="outset" w:color="DDDDDD" w:sz="6" w:space="0"/>
              <w:bottom w:val="outset" w:color="DDDDDD" w:sz="6" w:space="0"/>
              <w:right w:val="outset" w:color="DDDDDD" w:sz="6" w:space="0"/>
            </w:tcBorders>
            <w:noWrap w:val="0"/>
            <w:vAlign w:val="center"/>
          </w:tcPr>
          <w:p>
            <w:pPr>
              <w:spacing w:line="276" w:lineRule="auto"/>
              <w:jc w:val="center"/>
              <w:rPr>
                <w:rFonts w:ascii="宋体" w:hAnsi="宋体"/>
              </w:rPr>
            </w:pPr>
            <w:r>
              <w:rPr>
                <w:rFonts w:hint="eastAsia" w:ascii="宋体" w:hAnsi="宋体"/>
              </w:rPr>
              <w:t>合格或不合格</w:t>
            </w:r>
          </w:p>
        </w:tc>
      </w:tr>
    </w:tbl>
    <w:p>
      <w:pPr>
        <w:rPr>
          <w:rFonts w:hint="eastAsia" w:ascii="宋体" w:hAnsi="宋体"/>
          <w:b/>
          <w:bCs/>
          <w:color w:val="FF0000"/>
          <w:sz w:val="24"/>
        </w:rPr>
      </w:pPr>
    </w:p>
    <w:p>
      <w:pPr>
        <w:spacing w:line="360" w:lineRule="auto"/>
      </w:pPr>
      <w:r>
        <w:rPr>
          <w:rFonts w:hint="eastAsia" w:ascii="宋体" w:hAnsi="宋体"/>
          <w:b/>
          <w:bCs/>
          <w:sz w:val="24"/>
        </w:rPr>
        <w:t>表2：《商务评议指标表》</w:t>
      </w:r>
      <w:r>
        <w:rPr>
          <w:rFonts w:hint="eastAsia" w:ascii="宋体" w:hAnsi="宋体"/>
          <w:sz w:val="24"/>
        </w:rPr>
        <w:t xml:space="preserve">　                              </w:t>
      </w:r>
      <w:r>
        <w:rPr>
          <w:rFonts w:ascii="宋体" w:hAnsi="宋体"/>
          <w:sz w:val="24"/>
        </w:rPr>
        <w:t xml:space="preserve">[ </w:t>
      </w:r>
      <w:r>
        <w:rPr>
          <w:rFonts w:hint="eastAsia" w:ascii="宋体" w:hAnsi="宋体"/>
          <w:sz w:val="24"/>
        </w:rPr>
        <w:t>分值：</w:t>
      </w:r>
      <w:r>
        <w:rPr>
          <w:rFonts w:hint="eastAsia" w:ascii="宋体" w:hAnsi="宋体"/>
          <w:sz w:val="24"/>
          <w:u w:val="single"/>
        </w:rPr>
        <w:t>25</w:t>
      </w:r>
      <w:r>
        <w:rPr>
          <w:rFonts w:hint="eastAsia" w:ascii="宋体" w:hAnsi="宋体"/>
          <w:sz w:val="24"/>
        </w:rPr>
        <w:t>分</w:t>
      </w:r>
      <w:r>
        <w:rPr>
          <w:rFonts w:ascii="宋体" w:hAnsi="宋体"/>
          <w:sz w:val="24"/>
        </w:rPr>
        <w:t>]</w:t>
      </w:r>
    </w:p>
    <w:tbl>
      <w:tblPr>
        <w:tblStyle w:val="26"/>
        <w:tblW w:w="8750" w:type="dxa"/>
        <w:tblCellSpacing w:w="0" w:type="dxa"/>
        <w:tblInd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446"/>
        <w:gridCol w:w="1575"/>
        <w:gridCol w:w="716"/>
        <w:gridCol w:w="5440"/>
        <w:gridCol w:w="573"/>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385" w:hRule="atLeast"/>
          <w:tblCellSpacing w:w="0" w:type="dxa"/>
        </w:trPr>
        <w:tc>
          <w:tcPr>
            <w:tcW w:w="446" w:type="dxa"/>
            <w:tcBorders>
              <w:top w:val="outset" w:color="DDDDDD" w:sz="6" w:space="0"/>
              <w:left w:val="outset" w:color="DDDDDD" w:sz="6" w:space="0"/>
              <w:bottom w:val="outset" w:color="DDDDDD" w:sz="6" w:space="0"/>
              <w:right w:val="outset" w:color="auto" w:sz="6" w:space="0"/>
            </w:tcBorders>
            <w:shd w:val="clear" w:color="auto" w:fill="EEEEEE"/>
            <w:noWrap w:val="0"/>
            <w:vAlign w:val="center"/>
          </w:tcPr>
          <w:p>
            <w:pPr>
              <w:spacing w:line="240" w:lineRule="exact"/>
              <w:jc w:val="center"/>
              <w:rPr>
                <w:szCs w:val="21"/>
              </w:rPr>
            </w:pPr>
            <w:r>
              <w:rPr>
                <w:rFonts w:hAnsi="宋体"/>
                <w:szCs w:val="21"/>
              </w:rPr>
              <w:t>序号</w:t>
            </w:r>
          </w:p>
        </w:tc>
        <w:tc>
          <w:tcPr>
            <w:tcW w:w="1575" w:type="dxa"/>
            <w:tcBorders>
              <w:top w:val="outset" w:color="DDDDDD" w:sz="6" w:space="0"/>
              <w:left w:val="outset" w:color="auto" w:sz="6" w:space="0"/>
              <w:bottom w:val="outset" w:color="DDDDDD" w:sz="6" w:space="0"/>
              <w:right w:val="outset" w:color="auto" w:sz="6" w:space="0"/>
            </w:tcBorders>
            <w:shd w:val="clear" w:color="auto" w:fill="EEEEEE"/>
            <w:noWrap w:val="0"/>
            <w:vAlign w:val="center"/>
          </w:tcPr>
          <w:p>
            <w:pPr>
              <w:spacing w:line="240" w:lineRule="exact"/>
              <w:ind w:left="90"/>
              <w:jc w:val="center"/>
              <w:rPr>
                <w:szCs w:val="21"/>
              </w:rPr>
            </w:pPr>
            <w:r>
              <w:rPr>
                <w:rFonts w:hAnsi="宋体"/>
                <w:szCs w:val="21"/>
              </w:rPr>
              <w:t>内容</w:t>
            </w:r>
          </w:p>
        </w:tc>
        <w:tc>
          <w:tcPr>
            <w:tcW w:w="716" w:type="dxa"/>
            <w:tcBorders>
              <w:top w:val="outset" w:color="DDDDDD" w:sz="6" w:space="0"/>
              <w:left w:val="outset" w:color="auto" w:sz="6" w:space="0"/>
              <w:bottom w:val="outset" w:color="DDDDDD" w:sz="6" w:space="0"/>
              <w:right w:val="outset" w:color="auto" w:sz="6" w:space="0"/>
            </w:tcBorders>
            <w:shd w:val="clear" w:color="auto" w:fill="EEEEEE"/>
            <w:noWrap w:val="0"/>
            <w:vAlign w:val="center"/>
          </w:tcPr>
          <w:p>
            <w:pPr>
              <w:spacing w:line="240" w:lineRule="exact"/>
              <w:jc w:val="center"/>
              <w:rPr>
                <w:szCs w:val="21"/>
              </w:rPr>
            </w:pPr>
            <w:r>
              <w:rPr>
                <w:rFonts w:hAnsi="宋体"/>
                <w:szCs w:val="21"/>
              </w:rPr>
              <w:t>分值</w:t>
            </w:r>
          </w:p>
        </w:tc>
        <w:tc>
          <w:tcPr>
            <w:tcW w:w="5440" w:type="dxa"/>
            <w:tcBorders>
              <w:top w:val="outset" w:color="DDDDDD" w:sz="6" w:space="0"/>
              <w:left w:val="outset" w:color="auto" w:sz="6" w:space="0"/>
              <w:bottom w:val="outset" w:color="DDDDDD" w:sz="6" w:space="0"/>
              <w:right w:val="outset" w:color="DDDDDD" w:sz="6" w:space="0"/>
            </w:tcBorders>
            <w:shd w:val="clear" w:color="auto" w:fill="EEEEEE"/>
            <w:noWrap w:val="0"/>
            <w:vAlign w:val="center"/>
          </w:tcPr>
          <w:p>
            <w:pPr>
              <w:spacing w:line="240" w:lineRule="exact"/>
              <w:jc w:val="center"/>
              <w:rPr>
                <w:szCs w:val="21"/>
              </w:rPr>
            </w:pPr>
            <w:r>
              <w:rPr>
                <w:rFonts w:hAnsi="宋体"/>
                <w:szCs w:val="21"/>
              </w:rPr>
              <w:t>评分标准</w:t>
            </w:r>
          </w:p>
        </w:tc>
        <w:tc>
          <w:tcPr>
            <w:tcW w:w="573" w:type="dxa"/>
            <w:tcBorders>
              <w:top w:val="outset" w:color="DDDDDD" w:sz="6" w:space="0"/>
              <w:left w:val="outset" w:color="DDDDDD" w:sz="6" w:space="0"/>
              <w:bottom w:val="outset" w:color="DDDDDD" w:sz="6" w:space="0"/>
              <w:right w:val="outset" w:color="DDDDDD" w:sz="6" w:space="0"/>
            </w:tcBorders>
            <w:shd w:val="clear" w:color="auto" w:fill="EEEEEE"/>
            <w:noWrap w:val="0"/>
            <w:vAlign w:val="center"/>
          </w:tcPr>
          <w:p>
            <w:pPr>
              <w:spacing w:line="240" w:lineRule="exact"/>
              <w:jc w:val="center"/>
              <w:rPr>
                <w:szCs w:val="21"/>
              </w:rPr>
            </w:pPr>
            <w:r>
              <w:rPr>
                <w:rFonts w:hAnsi="宋体"/>
                <w:szCs w:val="21"/>
              </w:rPr>
              <w:t>评标</w:t>
            </w:r>
          </w:p>
          <w:p>
            <w:pPr>
              <w:spacing w:line="240" w:lineRule="exact"/>
              <w:jc w:val="center"/>
              <w:rPr>
                <w:szCs w:val="21"/>
              </w:rPr>
            </w:pPr>
            <w:r>
              <w:rPr>
                <w:rFonts w:hAnsi="宋体"/>
                <w:szCs w:val="21"/>
              </w:rPr>
              <w:t>得分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385" w:hRule="atLeast"/>
          <w:tblCellSpacing w:w="0" w:type="dxa"/>
        </w:trPr>
        <w:tc>
          <w:tcPr>
            <w:tcW w:w="446" w:type="dxa"/>
            <w:tcBorders>
              <w:top w:val="outset" w:color="808080" w:sz="6" w:space="0"/>
              <w:left w:val="outset" w:color="DDDDDD" w:sz="6" w:space="0"/>
              <w:right w:val="outset" w:color="auto" w:sz="6" w:space="0"/>
            </w:tcBorders>
            <w:noWrap w:val="0"/>
            <w:vAlign w:val="center"/>
          </w:tcPr>
          <w:p>
            <w:pPr>
              <w:jc w:val="center"/>
              <w:rPr>
                <w:szCs w:val="21"/>
              </w:rPr>
            </w:pPr>
            <w:r>
              <w:rPr>
                <w:szCs w:val="21"/>
              </w:rPr>
              <w:t>1</w:t>
            </w:r>
          </w:p>
        </w:tc>
        <w:tc>
          <w:tcPr>
            <w:tcW w:w="1575" w:type="dxa"/>
            <w:tcBorders>
              <w:top w:val="outset" w:color="808080" w:sz="6" w:space="0"/>
              <w:left w:val="outset" w:color="auto" w:sz="6" w:space="0"/>
              <w:right w:val="outset" w:color="999999" w:sz="6" w:space="0"/>
            </w:tcBorders>
            <w:noWrap w:val="0"/>
            <w:vAlign w:val="center"/>
          </w:tcPr>
          <w:p>
            <w:pPr>
              <w:snapToGrid w:val="0"/>
              <w:ind w:left="-63" w:leftChars="-30" w:right="-88" w:rightChars="-42"/>
              <w:jc w:val="center"/>
              <w:rPr>
                <w:rFonts w:ascii="宋体" w:hAnsi="宋体" w:cs="宋体"/>
                <w:szCs w:val="21"/>
              </w:rPr>
            </w:pPr>
            <w:r>
              <w:rPr>
                <w:rFonts w:hint="eastAsia" w:ascii="宋体" w:hAnsi="宋体" w:cs="宋体"/>
                <w:szCs w:val="21"/>
              </w:rPr>
              <w:t>2020年至今同类业绩经验</w:t>
            </w:r>
          </w:p>
        </w:tc>
        <w:tc>
          <w:tcPr>
            <w:tcW w:w="716" w:type="dxa"/>
            <w:tcBorders>
              <w:top w:val="outset" w:color="808080" w:sz="6" w:space="0"/>
              <w:left w:val="outset" w:color="auto" w:sz="6" w:space="0"/>
              <w:right w:val="outset" w:color="auto" w:sz="6" w:space="0"/>
            </w:tcBorders>
            <w:noWrap w:val="0"/>
            <w:vAlign w:val="center"/>
          </w:tcPr>
          <w:p>
            <w:pPr>
              <w:jc w:val="center"/>
              <w:rPr>
                <w:szCs w:val="21"/>
              </w:rPr>
            </w:pPr>
            <w:r>
              <w:rPr>
                <w:rFonts w:hint="eastAsia"/>
                <w:szCs w:val="21"/>
              </w:rPr>
              <w:t>8</w:t>
            </w:r>
          </w:p>
        </w:tc>
        <w:tc>
          <w:tcPr>
            <w:tcW w:w="5440" w:type="dxa"/>
            <w:tcBorders>
              <w:top w:val="outset" w:color="DDDDDD" w:sz="6" w:space="0"/>
              <w:left w:val="outset" w:color="auto" w:sz="6" w:space="0"/>
              <w:right w:val="outset" w:color="DDDDDD" w:sz="6" w:space="0"/>
            </w:tcBorders>
            <w:noWrap w:val="0"/>
            <w:vAlign w:val="center"/>
          </w:tcPr>
          <w:p>
            <w:pPr>
              <w:wordWrap w:val="0"/>
              <w:rPr>
                <w:rFonts w:hAnsi="宋体"/>
                <w:szCs w:val="21"/>
              </w:rPr>
            </w:pPr>
            <w:r>
              <w:rPr>
                <w:rFonts w:hint="eastAsia" w:hAnsi="宋体"/>
                <w:szCs w:val="21"/>
              </w:rPr>
              <w:t>自2020年1月1日至本项目投标截止之日止，供应商具有同类（运维服务）业绩，每提供一项得2分，本项最高得8分。</w:t>
            </w:r>
          </w:p>
          <w:p>
            <w:pPr>
              <w:wordWrap w:val="0"/>
              <w:rPr>
                <w:rFonts w:ascii="宋体" w:hAnsi="宋体" w:cs="宋体"/>
                <w:szCs w:val="21"/>
              </w:rPr>
            </w:pPr>
            <w:r>
              <w:rPr>
                <w:rFonts w:hint="eastAsia" w:hAnsi="宋体"/>
                <w:szCs w:val="21"/>
              </w:rPr>
              <w:t>证明材料：1.请附上合同关键页（含签订合同双方的单位名称、合同项目名称、项目金额与含签订合同双方的落款盖章、签订日期的关键页）复印件作为同类业绩评价证明资料；2.评分中出现无证明资料或专家无法凭所提供资料判断是否得分的情况，一律作不得分处理。</w:t>
            </w:r>
          </w:p>
        </w:tc>
        <w:tc>
          <w:tcPr>
            <w:tcW w:w="573" w:type="dxa"/>
            <w:tcBorders>
              <w:top w:val="outset" w:color="DDDDDD" w:sz="6" w:space="0"/>
              <w:left w:val="outset" w:color="DDDDDD" w:sz="6" w:space="0"/>
              <w:right w:val="outset" w:color="DDDDDD" w:sz="6" w:space="0"/>
            </w:tcBorders>
            <w:noWrap w:val="0"/>
            <w:vAlign w:val="center"/>
          </w:tcPr>
          <w:p>
            <w:pPr>
              <w:spacing w:line="20" w:lineRule="atLeast"/>
              <w:rPr>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385" w:hRule="atLeast"/>
          <w:tblCellSpacing w:w="0" w:type="dxa"/>
        </w:trPr>
        <w:tc>
          <w:tcPr>
            <w:tcW w:w="446" w:type="dxa"/>
            <w:tcBorders>
              <w:top w:val="outset" w:color="808080" w:sz="6" w:space="0"/>
              <w:left w:val="outset" w:color="DDDDDD" w:sz="6" w:space="0"/>
              <w:right w:val="outset" w:color="auto" w:sz="6" w:space="0"/>
            </w:tcBorders>
            <w:noWrap w:val="0"/>
            <w:vAlign w:val="center"/>
          </w:tcPr>
          <w:p>
            <w:pPr>
              <w:jc w:val="center"/>
              <w:rPr>
                <w:szCs w:val="21"/>
              </w:rPr>
            </w:pPr>
            <w:r>
              <w:rPr>
                <w:szCs w:val="21"/>
              </w:rPr>
              <w:t>2</w:t>
            </w:r>
          </w:p>
        </w:tc>
        <w:tc>
          <w:tcPr>
            <w:tcW w:w="1575" w:type="dxa"/>
            <w:tcBorders>
              <w:top w:val="outset" w:color="808080" w:sz="6" w:space="0"/>
              <w:left w:val="outset" w:color="auto" w:sz="6" w:space="0"/>
              <w:right w:val="outset" w:color="999999" w:sz="6" w:space="0"/>
            </w:tcBorders>
            <w:noWrap w:val="0"/>
            <w:vAlign w:val="center"/>
          </w:tcPr>
          <w:p>
            <w:pPr>
              <w:snapToGrid w:val="0"/>
              <w:jc w:val="center"/>
              <w:rPr>
                <w:rFonts w:ascii="宋体" w:hAnsi="宋体"/>
                <w:szCs w:val="21"/>
              </w:rPr>
            </w:pPr>
            <w:r>
              <w:rPr>
                <w:rFonts w:hint="eastAsia" w:ascii="宋体" w:hAnsi="宋体"/>
                <w:szCs w:val="21"/>
              </w:rPr>
              <w:t>认证证书</w:t>
            </w:r>
          </w:p>
        </w:tc>
        <w:tc>
          <w:tcPr>
            <w:tcW w:w="716" w:type="dxa"/>
            <w:tcBorders>
              <w:top w:val="outset" w:color="808080" w:sz="6" w:space="0"/>
              <w:left w:val="outset" w:color="auto" w:sz="6" w:space="0"/>
              <w:right w:val="outset" w:color="auto" w:sz="6" w:space="0"/>
            </w:tcBorders>
            <w:noWrap w:val="0"/>
            <w:vAlign w:val="center"/>
          </w:tcPr>
          <w:p>
            <w:pPr>
              <w:jc w:val="center"/>
              <w:rPr>
                <w:rFonts w:hint="eastAsia"/>
                <w:szCs w:val="21"/>
              </w:rPr>
            </w:pPr>
            <w:r>
              <w:rPr>
                <w:rFonts w:hint="eastAsia"/>
                <w:szCs w:val="21"/>
              </w:rPr>
              <w:t>6</w:t>
            </w:r>
          </w:p>
        </w:tc>
        <w:tc>
          <w:tcPr>
            <w:tcW w:w="5440" w:type="dxa"/>
            <w:tcBorders>
              <w:top w:val="outset" w:color="DDDDDD" w:sz="6" w:space="0"/>
              <w:left w:val="outset" w:color="auto" w:sz="6" w:space="0"/>
              <w:right w:val="outset" w:color="DDDDDD" w:sz="6" w:space="0"/>
            </w:tcBorders>
            <w:noWrap w:val="0"/>
            <w:vAlign w:val="center"/>
          </w:tcPr>
          <w:p>
            <w:pPr>
              <w:wordWrap w:val="0"/>
              <w:rPr>
                <w:rFonts w:hAnsi="宋体"/>
                <w:szCs w:val="21"/>
              </w:rPr>
            </w:pPr>
            <w:r>
              <w:rPr>
                <w:rFonts w:hint="eastAsia" w:hAnsi="宋体"/>
                <w:szCs w:val="21"/>
              </w:rPr>
              <w:t>1.具有有效期内的《信息安全管理体系认证证书》；</w:t>
            </w:r>
          </w:p>
          <w:p>
            <w:pPr>
              <w:wordWrap w:val="0"/>
              <w:rPr>
                <w:rFonts w:hAnsi="宋体"/>
                <w:szCs w:val="21"/>
              </w:rPr>
            </w:pPr>
            <w:r>
              <w:rPr>
                <w:rFonts w:hint="eastAsia" w:hAnsi="宋体"/>
                <w:szCs w:val="21"/>
              </w:rPr>
              <w:t>2.具有有效期内的《信息技术服务管理体系认证证书》；</w:t>
            </w:r>
          </w:p>
          <w:p>
            <w:pPr>
              <w:wordWrap w:val="0"/>
              <w:rPr>
                <w:rFonts w:hAnsi="宋体"/>
                <w:szCs w:val="21"/>
              </w:rPr>
            </w:pPr>
            <w:r>
              <w:rPr>
                <w:rFonts w:hint="eastAsia" w:hAnsi="宋体"/>
                <w:szCs w:val="21"/>
              </w:rPr>
              <w:t>3.具有有效期内的</w:t>
            </w:r>
            <w:r>
              <w:rPr>
                <w:rFonts w:hAnsi="宋体"/>
                <w:szCs w:val="21"/>
              </w:rPr>
              <w:t>信息安全应急处理</w:t>
            </w:r>
            <w:r>
              <w:rPr>
                <w:rFonts w:hint="eastAsia" w:hAnsi="宋体"/>
                <w:szCs w:val="21"/>
              </w:rPr>
              <w:t>资质证书；</w:t>
            </w:r>
          </w:p>
          <w:p>
            <w:pPr>
              <w:wordWrap w:val="0"/>
              <w:rPr>
                <w:rFonts w:hAnsi="宋体"/>
                <w:szCs w:val="21"/>
              </w:rPr>
            </w:pPr>
            <w:r>
              <w:rPr>
                <w:rFonts w:hint="eastAsia" w:hAnsi="宋体"/>
                <w:szCs w:val="21"/>
              </w:rPr>
              <w:t>每满足一项得3分，本项累计最高得6分。</w:t>
            </w:r>
          </w:p>
          <w:p>
            <w:pPr>
              <w:wordWrap w:val="0"/>
              <w:rPr>
                <w:rFonts w:hAnsi="宋体"/>
                <w:szCs w:val="21"/>
              </w:rPr>
            </w:pPr>
            <w:r>
              <w:rPr>
                <w:rFonts w:hint="eastAsia" w:hAnsi="宋体"/>
                <w:szCs w:val="21"/>
              </w:rPr>
              <w:t>证明材料：1.信息安全管理体系认证证书与信息技术服务管理体系认证证书需提供有效期内的认证证书扫描件及国家认监委网站（http://www.cnca.gov.cn/）的认证信息查询截图（截图需显示证书状态为有效）；2.提供其他相关资质证书；3. 评分中出现无证明资料或专家无法凭所提供资料判断是否得分的情况，一律作不得分处理。</w:t>
            </w:r>
          </w:p>
        </w:tc>
        <w:tc>
          <w:tcPr>
            <w:tcW w:w="573" w:type="dxa"/>
            <w:tcBorders>
              <w:top w:val="outset" w:color="DDDDDD" w:sz="6" w:space="0"/>
              <w:left w:val="outset" w:color="DDDDDD" w:sz="6" w:space="0"/>
              <w:right w:val="outset" w:color="DDDDDD" w:sz="6" w:space="0"/>
            </w:tcBorders>
            <w:noWrap w:val="0"/>
            <w:vAlign w:val="center"/>
          </w:tcPr>
          <w:p>
            <w:pPr>
              <w:spacing w:line="20" w:lineRule="atLeast"/>
              <w:rPr>
                <w:color w:val="FF0000"/>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385" w:hRule="atLeast"/>
          <w:tblCellSpacing w:w="0" w:type="dxa"/>
        </w:trPr>
        <w:tc>
          <w:tcPr>
            <w:tcW w:w="446" w:type="dxa"/>
            <w:tcBorders>
              <w:top w:val="outset" w:color="808080" w:sz="6" w:space="0"/>
              <w:left w:val="outset" w:color="DDDDDD" w:sz="6" w:space="0"/>
              <w:right w:val="outset" w:color="auto" w:sz="6" w:space="0"/>
            </w:tcBorders>
            <w:noWrap w:val="0"/>
            <w:vAlign w:val="center"/>
          </w:tcPr>
          <w:p>
            <w:pPr>
              <w:jc w:val="center"/>
              <w:rPr>
                <w:szCs w:val="21"/>
              </w:rPr>
            </w:pPr>
            <w:r>
              <w:rPr>
                <w:szCs w:val="21"/>
              </w:rPr>
              <w:t>3</w:t>
            </w:r>
          </w:p>
        </w:tc>
        <w:tc>
          <w:tcPr>
            <w:tcW w:w="1575" w:type="dxa"/>
            <w:tcBorders>
              <w:top w:val="outset" w:color="808080" w:sz="6" w:space="0"/>
              <w:left w:val="outset" w:color="auto" w:sz="6" w:space="0"/>
              <w:right w:val="outset" w:color="999999" w:sz="6" w:space="0"/>
            </w:tcBorders>
            <w:noWrap w:val="0"/>
            <w:vAlign w:val="center"/>
          </w:tcPr>
          <w:p>
            <w:pPr>
              <w:snapToGrid w:val="0"/>
              <w:jc w:val="center"/>
              <w:rPr>
                <w:rFonts w:ascii="宋体" w:hAnsi="宋体"/>
                <w:szCs w:val="21"/>
              </w:rPr>
            </w:pPr>
            <w:r>
              <w:rPr>
                <w:rFonts w:hint="eastAsia" w:ascii="宋体" w:hAnsi="宋体"/>
                <w:szCs w:val="21"/>
              </w:rPr>
              <w:t>拟投入本项目成员情况</w:t>
            </w:r>
          </w:p>
        </w:tc>
        <w:tc>
          <w:tcPr>
            <w:tcW w:w="716" w:type="dxa"/>
            <w:tcBorders>
              <w:top w:val="outset" w:color="808080" w:sz="6" w:space="0"/>
              <w:left w:val="outset" w:color="auto" w:sz="6" w:space="0"/>
              <w:right w:val="outset" w:color="auto" w:sz="6" w:space="0"/>
            </w:tcBorders>
            <w:noWrap w:val="0"/>
            <w:vAlign w:val="center"/>
          </w:tcPr>
          <w:p>
            <w:pPr>
              <w:jc w:val="center"/>
              <w:rPr>
                <w:szCs w:val="21"/>
              </w:rPr>
            </w:pPr>
            <w:r>
              <w:rPr>
                <w:rFonts w:hint="eastAsia"/>
                <w:szCs w:val="21"/>
              </w:rPr>
              <w:t>11</w:t>
            </w:r>
          </w:p>
        </w:tc>
        <w:tc>
          <w:tcPr>
            <w:tcW w:w="5440" w:type="dxa"/>
            <w:tcBorders>
              <w:top w:val="outset" w:color="DDDDDD" w:sz="6" w:space="0"/>
              <w:left w:val="outset" w:color="auto" w:sz="6" w:space="0"/>
              <w:right w:val="outset" w:color="DDDDDD" w:sz="6" w:space="0"/>
            </w:tcBorders>
            <w:noWrap w:val="0"/>
            <w:vAlign w:val="center"/>
          </w:tcPr>
          <w:p>
            <w:pPr>
              <w:wordWrap w:val="0"/>
              <w:rPr>
                <w:rFonts w:hAnsi="宋体"/>
                <w:szCs w:val="21"/>
              </w:rPr>
            </w:pPr>
            <w:r>
              <w:rPr>
                <w:rFonts w:hint="eastAsia" w:hAnsi="宋体"/>
                <w:szCs w:val="21"/>
              </w:rPr>
              <w:t>拟投入本项目运维人员情况：</w:t>
            </w:r>
          </w:p>
          <w:p>
            <w:pPr>
              <w:pStyle w:val="43"/>
              <w:numPr>
                <w:ilvl w:val="0"/>
                <w:numId w:val="5"/>
              </w:numPr>
              <w:wordWrap w:val="0"/>
              <w:adjustRightInd w:val="0"/>
              <w:ind w:left="0" w:firstLineChars="0"/>
              <w:rPr>
                <w:rFonts w:ascii="Times New Roman" w:hAnsi="宋体"/>
                <w:szCs w:val="21"/>
              </w:rPr>
            </w:pPr>
            <w:r>
              <w:rPr>
                <w:rFonts w:hint="eastAsia" w:ascii="Times New Roman" w:hAnsi="宋体"/>
                <w:szCs w:val="21"/>
              </w:rPr>
              <w:t>1.均具有计算机相关专业大专或以上学历，得</w:t>
            </w:r>
            <w:r>
              <w:rPr>
                <w:rFonts w:ascii="Times New Roman" w:hAnsi="宋体"/>
                <w:szCs w:val="21"/>
              </w:rPr>
              <w:t>5</w:t>
            </w:r>
            <w:r>
              <w:rPr>
                <w:rFonts w:hint="eastAsia" w:ascii="Times New Roman" w:hAnsi="宋体"/>
                <w:szCs w:val="21"/>
              </w:rPr>
              <w:t>分；</w:t>
            </w:r>
          </w:p>
          <w:p>
            <w:pPr>
              <w:pStyle w:val="43"/>
              <w:numPr>
                <w:ilvl w:val="0"/>
                <w:numId w:val="5"/>
              </w:numPr>
              <w:wordWrap w:val="0"/>
              <w:adjustRightInd w:val="0"/>
              <w:ind w:left="0" w:firstLineChars="0"/>
              <w:rPr>
                <w:rFonts w:ascii="Times New Roman" w:hAnsi="宋体"/>
                <w:szCs w:val="21"/>
              </w:rPr>
            </w:pPr>
            <w:r>
              <w:rPr>
                <w:rFonts w:hint="eastAsia" w:ascii="Times New Roman" w:hAnsi="宋体"/>
                <w:szCs w:val="21"/>
              </w:rPr>
              <w:t>2.具有计算机软件专业技术资格证书，每提供一项得</w:t>
            </w:r>
            <w:r>
              <w:rPr>
                <w:rFonts w:ascii="Times New Roman" w:hAnsi="宋体"/>
                <w:szCs w:val="21"/>
              </w:rPr>
              <w:t>1.5</w:t>
            </w:r>
            <w:r>
              <w:rPr>
                <w:rFonts w:hint="eastAsia" w:ascii="Times New Roman" w:hAnsi="宋体"/>
                <w:szCs w:val="21"/>
              </w:rPr>
              <w:t>分，每人累计最高得</w:t>
            </w:r>
            <w:r>
              <w:rPr>
                <w:rFonts w:ascii="Times New Roman" w:hAnsi="宋体"/>
                <w:szCs w:val="21"/>
              </w:rPr>
              <w:t>3</w:t>
            </w:r>
            <w:r>
              <w:rPr>
                <w:rFonts w:hint="eastAsia" w:ascii="Times New Roman" w:hAnsi="宋体"/>
                <w:szCs w:val="21"/>
              </w:rPr>
              <w:t>分，本项累计最高得</w:t>
            </w:r>
            <w:r>
              <w:rPr>
                <w:rFonts w:ascii="Times New Roman" w:hAnsi="宋体"/>
                <w:szCs w:val="21"/>
              </w:rPr>
              <w:t>6</w:t>
            </w:r>
            <w:r>
              <w:rPr>
                <w:rFonts w:hint="eastAsia" w:ascii="Times New Roman" w:hAnsi="宋体"/>
                <w:szCs w:val="21"/>
              </w:rPr>
              <w:t>分；</w:t>
            </w:r>
          </w:p>
          <w:p>
            <w:pPr>
              <w:wordWrap w:val="0"/>
              <w:rPr>
                <w:rFonts w:hAnsi="宋体"/>
                <w:szCs w:val="21"/>
              </w:rPr>
            </w:pPr>
            <w:r>
              <w:rPr>
                <w:rFonts w:hint="eastAsia" w:hAnsi="宋体"/>
                <w:szCs w:val="21"/>
              </w:rPr>
              <w:t>证明材料：1.提供相关证明材料；2.评分中出现无证明资料或专家无法凭所提供资料判断是否得分的情况，一律作不得分处理。</w:t>
            </w:r>
          </w:p>
        </w:tc>
        <w:tc>
          <w:tcPr>
            <w:tcW w:w="573" w:type="dxa"/>
            <w:tcBorders>
              <w:top w:val="outset" w:color="DDDDDD" w:sz="6" w:space="0"/>
              <w:left w:val="outset" w:color="DDDDDD" w:sz="6" w:space="0"/>
              <w:right w:val="outset" w:color="DDDDDD" w:sz="6" w:space="0"/>
            </w:tcBorders>
            <w:noWrap w:val="0"/>
            <w:vAlign w:val="center"/>
          </w:tcPr>
          <w:p>
            <w:pPr>
              <w:spacing w:line="20" w:lineRule="atLeast"/>
              <w:rPr>
                <w:color w:val="FF0000"/>
                <w:szCs w:val="21"/>
              </w:rPr>
            </w:pPr>
          </w:p>
        </w:tc>
      </w:tr>
    </w:tbl>
    <w:p>
      <w:pPr>
        <w:spacing w:line="360" w:lineRule="auto"/>
        <w:rPr>
          <w:rFonts w:hint="eastAsia" w:ascii="宋体" w:hAnsi="宋体"/>
          <w:b/>
          <w:bCs/>
          <w:color w:val="FF0000"/>
          <w:sz w:val="24"/>
        </w:rPr>
      </w:pPr>
    </w:p>
    <w:p>
      <w:pPr>
        <w:spacing w:line="360" w:lineRule="auto"/>
        <w:rPr>
          <w:rStyle w:val="179"/>
          <w:b/>
          <w:bCs/>
          <w:szCs w:val="21"/>
        </w:rPr>
      </w:pPr>
      <w:r>
        <w:rPr>
          <w:rFonts w:hint="eastAsia" w:ascii="宋体" w:hAnsi="宋体"/>
          <w:b/>
          <w:bCs/>
          <w:sz w:val="24"/>
        </w:rPr>
        <w:t>表3：《技术评议指标表》</w:t>
      </w:r>
      <w:r>
        <w:rPr>
          <w:rFonts w:hint="eastAsia" w:ascii="宋体" w:hAnsi="宋体"/>
          <w:bCs/>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分值：</w:t>
      </w:r>
      <w:r>
        <w:rPr>
          <w:rFonts w:hint="eastAsia" w:ascii="宋体" w:hAnsi="宋体"/>
          <w:sz w:val="24"/>
          <w:u w:val="single"/>
        </w:rPr>
        <w:t>65</w:t>
      </w:r>
      <w:r>
        <w:rPr>
          <w:rFonts w:hint="eastAsia" w:ascii="宋体" w:hAnsi="宋体"/>
          <w:sz w:val="24"/>
        </w:rPr>
        <w:t>分</w:t>
      </w:r>
      <w:r>
        <w:rPr>
          <w:rFonts w:ascii="宋体" w:hAnsi="宋体"/>
          <w:sz w:val="24"/>
        </w:rPr>
        <w:t>]</w:t>
      </w:r>
    </w:p>
    <w:tbl>
      <w:tblPr>
        <w:tblStyle w:val="26"/>
        <w:tblW w:w="8961" w:type="dxa"/>
        <w:tblCellSpacing w:w="0" w:type="dxa"/>
        <w:tblInd w:w="0"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607"/>
        <w:gridCol w:w="1550"/>
        <w:gridCol w:w="708"/>
        <w:gridCol w:w="5378"/>
        <w:gridCol w:w="718"/>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572" w:hRule="atLeast"/>
          <w:tblCellSpacing w:w="0" w:type="dxa"/>
        </w:trPr>
        <w:tc>
          <w:tcPr>
            <w:tcW w:w="607" w:type="dxa"/>
            <w:shd w:val="clear" w:color="auto" w:fill="EEEEEE"/>
            <w:noWrap w:val="0"/>
            <w:vAlign w:val="center"/>
          </w:tcPr>
          <w:p>
            <w:pPr>
              <w:jc w:val="center"/>
              <w:rPr>
                <w:szCs w:val="21"/>
              </w:rPr>
            </w:pPr>
            <w:r>
              <w:rPr>
                <w:rFonts w:hAnsi="宋体"/>
                <w:szCs w:val="21"/>
              </w:rPr>
              <w:t>序号</w:t>
            </w:r>
          </w:p>
        </w:tc>
        <w:tc>
          <w:tcPr>
            <w:tcW w:w="1550" w:type="dxa"/>
            <w:shd w:val="clear" w:color="auto" w:fill="EEEEEE"/>
            <w:noWrap w:val="0"/>
            <w:vAlign w:val="center"/>
          </w:tcPr>
          <w:p>
            <w:pPr>
              <w:ind w:left="90"/>
              <w:jc w:val="center"/>
              <w:rPr>
                <w:szCs w:val="21"/>
              </w:rPr>
            </w:pPr>
            <w:r>
              <w:rPr>
                <w:rFonts w:hAnsi="宋体"/>
                <w:szCs w:val="21"/>
              </w:rPr>
              <w:t>内容</w:t>
            </w:r>
          </w:p>
        </w:tc>
        <w:tc>
          <w:tcPr>
            <w:tcW w:w="708" w:type="dxa"/>
            <w:shd w:val="clear" w:color="auto" w:fill="EEEEEE"/>
            <w:noWrap w:val="0"/>
            <w:vAlign w:val="center"/>
          </w:tcPr>
          <w:p>
            <w:pPr>
              <w:jc w:val="center"/>
              <w:rPr>
                <w:szCs w:val="21"/>
              </w:rPr>
            </w:pPr>
            <w:r>
              <w:rPr>
                <w:rFonts w:hAnsi="宋体"/>
                <w:szCs w:val="21"/>
              </w:rPr>
              <w:t>分值</w:t>
            </w:r>
          </w:p>
        </w:tc>
        <w:tc>
          <w:tcPr>
            <w:tcW w:w="5378" w:type="dxa"/>
            <w:shd w:val="clear" w:color="auto" w:fill="EEEEEE"/>
            <w:noWrap w:val="0"/>
            <w:vAlign w:val="center"/>
          </w:tcPr>
          <w:p>
            <w:pPr>
              <w:jc w:val="center"/>
              <w:rPr>
                <w:szCs w:val="21"/>
              </w:rPr>
            </w:pPr>
            <w:r>
              <w:rPr>
                <w:rFonts w:hAnsi="宋体"/>
                <w:szCs w:val="21"/>
              </w:rPr>
              <w:t>评分标准</w:t>
            </w:r>
          </w:p>
        </w:tc>
        <w:tc>
          <w:tcPr>
            <w:tcW w:w="718" w:type="dxa"/>
            <w:shd w:val="clear" w:color="auto" w:fill="EEEEEE"/>
            <w:noWrap w:val="0"/>
            <w:vAlign w:val="center"/>
          </w:tcPr>
          <w:p>
            <w:pPr>
              <w:jc w:val="center"/>
              <w:rPr>
                <w:szCs w:val="21"/>
              </w:rPr>
            </w:pPr>
            <w:r>
              <w:rPr>
                <w:rFonts w:hAnsi="宋体"/>
                <w:szCs w:val="21"/>
              </w:rPr>
              <w:t>评标</w:t>
            </w:r>
          </w:p>
          <w:p>
            <w:pPr>
              <w:jc w:val="center"/>
              <w:rPr>
                <w:szCs w:val="21"/>
              </w:rPr>
            </w:pPr>
            <w:r>
              <w:rPr>
                <w:rFonts w:hAnsi="宋体"/>
                <w:szCs w:val="21"/>
              </w:rPr>
              <w:t>得分</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587" w:hRule="atLeast"/>
          <w:tblCellSpacing w:w="0" w:type="dxa"/>
        </w:trPr>
        <w:tc>
          <w:tcPr>
            <w:tcW w:w="607" w:type="dxa"/>
            <w:noWrap w:val="0"/>
            <w:vAlign w:val="center"/>
          </w:tcPr>
          <w:p>
            <w:pPr>
              <w:ind w:left="91"/>
              <w:jc w:val="center"/>
              <w:rPr>
                <w:szCs w:val="21"/>
              </w:rPr>
            </w:pPr>
            <w:r>
              <w:rPr>
                <w:szCs w:val="21"/>
              </w:rPr>
              <w:t>1</w:t>
            </w:r>
          </w:p>
        </w:tc>
        <w:tc>
          <w:tcPr>
            <w:tcW w:w="1550" w:type="dxa"/>
            <w:noWrap w:val="0"/>
            <w:vAlign w:val="center"/>
          </w:tcPr>
          <w:p>
            <w:pPr>
              <w:jc w:val="center"/>
              <w:rPr>
                <w:szCs w:val="21"/>
              </w:rPr>
            </w:pPr>
            <w:r>
              <w:rPr>
                <w:rFonts w:hint="eastAsia"/>
                <w:szCs w:val="21"/>
              </w:rPr>
              <w:t>总体概述</w:t>
            </w:r>
          </w:p>
        </w:tc>
        <w:tc>
          <w:tcPr>
            <w:tcW w:w="708" w:type="dxa"/>
            <w:noWrap w:val="0"/>
            <w:vAlign w:val="center"/>
          </w:tcPr>
          <w:p>
            <w:pPr>
              <w:jc w:val="center"/>
              <w:rPr>
                <w:szCs w:val="21"/>
              </w:rPr>
            </w:pPr>
            <w:r>
              <w:rPr>
                <w:rFonts w:hint="eastAsia"/>
                <w:szCs w:val="21"/>
              </w:rPr>
              <w:t>15</w:t>
            </w:r>
          </w:p>
        </w:tc>
        <w:tc>
          <w:tcPr>
            <w:tcW w:w="5378" w:type="dxa"/>
            <w:noWrap w:val="0"/>
            <w:vAlign w:val="top"/>
          </w:tcPr>
          <w:p>
            <w:pPr>
              <w:snapToGrid w:val="0"/>
              <w:rPr>
                <w:rFonts w:ascii="宋体" w:hAnsi="宋体"/>
                <w:szCs w:val="21"/>
              </w:rPr>
            </w:pPr>
            <w:r>
              <w:rPr>
                <w:rFonts w:hint="eastAsia" w:ascii="宋体" w:hAnsi="宋体"/>
                <w:szCs w:val="21"/>
              </w:rPr>
              <w:t>在响应文件中详细说明总体概述（包括对项目的总体认识情况、对项目现状的熟悉程度等）</w:t>
            </w:r>
          </w:p>
          <w:p>
            <w:pPr>
              <w:snapToGrid w:val="0"/>
              <w:rPr>
                <w:rFonts w:ascii="宋体" w:hAnsi="宋体"/>
                <w:szCs w:val="21"/>
              </w:rPr>
            </w:pPr>
            <w:r>
              <w:rPr>
                <w:rFonts w:hint="eastAsia" w:ascii="宋体" w:hAnsi="宋体"/>
                <w:szCs w:val="21"/>
              </w:rPr>
              <w:t>评分标准：</w:t>
            </w:r>
          </w:p>
          <w:p>
            <w:pPr>
              <w:snapToGrid w:val="0"/>
              <w:rPr>
                <w:rFonts w:ascii="宋体" w:hAnsi="宋体"/>
                <w:szCs w:val="21"/>
              </w:rPr>
            </w:pPr>
            <w:r>
              <w:rPr>
                <w:rFonts w:hint="eastAsia" w:ascii="宋体" w:hAnsi="宋体"/>
                <w:szCs w:val="21"/>
              </w:rPr>
              <w:t>（1）</w:t>
            </w:r>
            <w:r>
              <w:rPr>
                <w:rFonts w:hint="eastAsia" w:ascii="宋体" w:hAnsi="宋体" w:cs="宋体"/>
                <w:szCs w:val="21"/>
              </w:rPr>
              <w:t>总体概述</w:t>
            </w:r>
            <w:r>
              <w:rPr>
                <w:rFonts w:hint="eastAsia" w:ascii="宋体" w:hAnsi="宋体"/>
                <w:szCs w:val="21"/>
              </w:rPr>
              <w:t>内容全面，表述清晰、完整、严谨；</w:t>
            </w:r>
          </w:p>
          <w:p>
            <w:pPr>
              <w:snapToGrid w:val="0"/>
              <w:rPr>
                <w:rFonts w:ascii="宋体" w:hAnsi="宋体"/>
                <w:szCs w:val="21"/>
              </w:rPr>
            </w:pPr>
            <w:r>
              <w:rPr>
                <w:rFonts w:hint="eastAsia" w:ascii="宋体" w:hAnsi="宋体"/>
                <w:szCs w:val="21"/>
              </w:rPr>
              <w:t>（2）</w:t>
            </w:r>
            <w:r>
              <w:rPr>
                <w:rFonts w:hint="eastAsia" w:ascii="宋体" w:hAnsi="宋体" w:cs="宋体"/>
                <w:szCs w:val="21"/>
              </w:rPr>
              <w:t>总体概述</w:t>
            </w:r>
            <w:r>
              <w:rPr>
                <w:rFonts w:hint="eastAsia" w:ascii="宋体" w:hAnsi="宋体"/>
                <w:szCs w:val="21"/>
              </w:rPr>
              <w:t>内容针对性强；</w:t>
            </w:r>
          </w:p>
          <w:p>
            <w:pPr>
              <w:snapToGrid w:val="0"/>
              <w:rPr>
                <w:rFonts w:ascii="宋体" w:hAnsi="宋体"/>
                <w:szCs w:val="21"/>
              </w:rPr>
            </w:pPr>
            <w:r>
              <w:rPr>
                <w:rFonts w:hint="eastAsia" w:ascii="宋体" w:hAnsi="宋体"/>
                <w:szCs w:val="21"/>
              </w:rPr>
              <w:t>（3）</w:t>
            </w:r>
            <w:r>
              <w:rPr>
                <w:rFonts w:hint="eastAsia" w:ascii="宋体" w:hAnsi="宋体" w:cs="宋体"/>
                <w:szCs w:val="21"/>
              </w:rPr>
              <w:t>总体概述</w:t>
            </w:r>
            <w:r>
              <w:rPr>
                <w:rFonts w:hint="eastAsia" w:ascii="宋体" w:hAnsi="宋体"/>
                <w:szCs w:val="21"/>
              </w:rPr>
              <w:t>内容先进，科学合理；</w:t>
            </w:r>
          </w:p>
          <w:p>
            <w:pPr>
              <w:snapToGrid w:val="0"/>
              <w:rPr>
                <w:rFonts w:ascii="宋体" w:hAnsi="宋体"/>
                <w:szCs w:val="21"/>
              </w:rPr>
            </w:pPr>
            <w:r>
              <w:rPr>
                <w:rFonts w:hint="eastAsia" w:ascii="宋体" w:hAnsi="宋体"/>
                <w:szCs w:val="21"/>
              </w:rPr>
              <w:t>（4）</w:t>
            </w:r>
            <w:r>
              <w:rPr>
                <w:rFonts w:hint="eastAsia" w:ascii="宋体" w:hAnsi="宋体" w:cs="宋体"/>
                <w:szCs w:val="21"/>
              </w:rPr>
              <w:t>总体概述</w:t>
            </w:r>
            <w:r>
              <w:rPr>
                <w:rFonts w:hint="eastAsia" w:ascii="宋体" w:hAnsi="宋体"/>
                <w:szCs w:val="21"/>
              </w:rPr>
              <w:t>内容可操作性强；</w:t>
            </w:r>
          </w:p>
          <w:p>
            <w:pPr>
              <w:wordWrap w:val="0"/>
              <w:rPr>
                <w:rFonts w:hAnsi="宋体"/>
                <w:szCs w:val="21"/>
              </w:rPr>
            </w:pPr>
            <w:r>
              <w:rPr>
                <w:rFonts w:hint="eastAsia" w:ascii="宋体" w:hAnsi="宋体"/>
                <w:szCs w:val="21"/>
              </w:rPr>
              <w:t>满足以上四项要求得15分，满足以上三项要求得10分，满足以上两项要求得5分，满足以上一项要求得1分，其它情况不得分。</w:t>
            </w:r>
          </w:p>
        </w:tc>
        <w:tc>
          <w:tcPr>
            <w:tcW w:w="718" w:type="dxa"/>
            <w:noWrap w:val="0"/>
            <w:vAlign w:val="center"/>
          </w:tcPr>
          <w:p>
            <w:pPr>
              <w:ind w:left="90"/>
              <w:rPr>
                <w:color w:val="FF0000"/>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587" w:hRule="atLeast"/>
          <w:tblCellSpacing w:w="0" w:type="dxa"/>
        </w:trPr>
        <w:tc>
          <w:tcPr>
            <w:tcW w:w="607" w:type="dxa"/>
            <w:noWrap w:val="0"/>
            <w:vAlign w:val="center"/>
          </w:tcPr>
          <w:p>
            <w:pPr>
              <w:ind w:left="91"/>
              <w:jc w:val="center"/>
              <w:rPr>
                <w:szCs w:val="21"/>
              </w:rPr>
            </w:pPr>
            <w:r>
              <w:rPr>
                <w:szCs w:val="21"/>
              </w:rPr>
              <w:t>2</w:t>
            </w:r>
          </w:p>
        </w:tc>
        <w:tc>
          <w:tcPr>
            <w:tcW w:w="1550" w:type="dxa"/>
            <w:noWrap w:val="0"/>
            <w:vAlign w:val="center"/>
          </w:tcPr>
          <w:p>
            <w:pPr>
              <w:jc w:val="center"/>
              <w:rPr>
                <w:szCs w:val="21"/>
              </w:rPr>
            </w:pPr>
            <w:r>
              <w:rPr>
                <w:rFonts w:hint="eastAsia"/>
                <w:szCs w:val="21"/>
              </w:rPr>
              <w:t>重点难点分析及解决方案</w:t>
            </w:r>
          </w:p>
        </w:tc>
        <w:tc>
          <w:tcPr>
            <w:tcW w:w="708" w:type="dxa"/>
            <w:noWrap w:val="0"/>
            <w:vAlign w:val="center"/>
          </w:tcPr>
          <w:p>
            <w:pPr>
              <w:jc w:val="center"/>
              <w:rPr>
                <w:szCs w:val="21"/>
              </w:rPr>
            </w:pPr>
            <w:r>
              <w:rPr>
                <w:rFonts w:hint="eastAsia"/>
                <w:szCs w:val="21"/>
              </w:rPr>
              <w:t>10</w:t>
            </w:r>
          </w:p>
        </w:tc>
        <w:tc>
          <w:tcPr>
            <w:tcW w:w="5378" w:type="dxa"/>
            <w:noWrap w:val="0"/>
            <w:vAlign w:val="top"/>
          </w:tcPr>
          <w:p>
            <w:pPr>
              <w:snapToGrid w:val="0"/>
              <w:rPr>
                <w:rFonts w:ascii="宋体" w:hAnsi="宋体"/>
                <w:szCs w:val="21"/>
              </w:rPr>
            </w:pPr>
            <w:r>
              <w:rPr>
                <w:rFonts w:hint="eastAsia" w:ascii="宋体" w:hAnsi="宋体"/>
                <w:szCs w:val="21"/>
              </w:rPr>
              <w:t>在响应文件中详细说明重点难点分析及解决方案（对项目服务提供方式、实施难度及解决方案等方面重点难点</w:t>
            </w:r>
          </w:p>
          <w:p>
            <w:pPr>
              <w:snapToGrid w:val="0"/>
              <w:rPr>
                <w:rFonts w:ascii="宋体" w:hAnsi="宋体"/>
                <w:szCs w:val="21"/>
              </w:rPr>
            </w:pPr>
            <w:r>
              <w:rPr>
                <w:rFonts w:hint="eastAsia" w:ascii="宋体" w:hAnsi="宋体"/>
                <w:szCs w:val="21"/>
              </w:rPr>
              <w:t>及解决方案等），根据响应情况进行评审：</w:t>
            </w:r>
          </w:p>
          <w:p>
            <w:pPr>
              <w:snapToGrid w:val="0"/>
              <w:rPr>
                <w:rFonts w:ascii="宋体" w:hAnsi="宋体"/>
                <w:szCs w:val="21"/>
              </w:rPr>
            </w:pPr>
            <w:r>
              <w:rPr>
                <w:rFonts w:hint="eastAsia" w:ascii="宋体" w:hAnsi="宋体"/>
                <w:szCs w:val="21"/>
              </w:rPr>
              <w:t>评分标准：</w:t>
            </w:r>
          </w:p>
          <w:p>
            <w:pPr>
              <w:snapToGrid w:val="0"/>
              <w:rPr>
                <w:rFonts w:ascii="宋体" w:hAnsi="宋体"/>
                <w:szCs w:val="21"/>
              </w:rPr>
            </w:pPr>
            <w:r>
              <w:rPr>
                <w:rFonts w:hint="eastAsia" w:ascii="宋体" w:hAnsi="宋体"/>
                <w:szCs w:val="21"/>
              </w:rPr>
              <w:t>（1）重点难点分析及解决方案内容全面，表述清晰、完整、严谨；</w:t>
            </w:r>
          </w:p>
          <w:p>
            <w:pPr>
              <w:snapToGrid w:val="0"/>
              <w:rPr>
                <w:rFonts w:ascii="宋体" w:hAnsi="宋体"/>
                <w:szCs w:val="21"/>
              </w:rPr>
            </w:pPr>
            <w:r>
              <w:rPr>
                <w:rFonts w:hint="eastAsia" w:ascii="宋体" w:hAnsi="宋体"/>
                <w:szCs w:val="21"/>
              </w:rPr>
              <w:t>（2）重点难点分析及解决方案内容针对性强；</w:t>
            </w:r>
          </w:p>
          <w:p>
            <w:pPr>
              <w:snapToGrid w:val="0"/>
              <w:rPr>
                <w:rFonts w:ascii="宋体" w:hAnsi="宋体"/>
                <w:szCs w:val="21"/>
              </w:rPr>
            </w:pPr>
            <w:r>
              <w:rPr>
                <w:rFonts w:hint="eastAsia" w:ascii="宋体" w:hAnsi="宋体"/>
                <w:szCs w:val="21"/>
              </w:rPr>
              <w:t>（3）重点难点分析及解决方案内容先进，科学合理；</w:t>
            </w:r>
          </w:p>
          <w:p>
            <w:pPr>
              <w:snapToGrid w:val="0"/>
              <w:rPr>
                <w:rFonts w:ascii="宋体" w:hAnsi="宋体"/>
                <w:szCs w:val="21"/>
              </w:rPr>
            </w:pPr>
            <w:r>
              <w:rPr>
                <w:rFonts w:hint="eastAsia" w:ascii="宋体" w:hAnsi="宋体"/>
                <w:szCs w:val="21"/>
              </w:rPr>
              <w:t>（4）重点难点分析及解决方案内容可操作性强；</w:t>
            </w:r>
          </w:p>
          <w:p>
            <w:pPr>
              <w:snapToGrid w:val="0"/>
              <w:rPr>
                <w:rFonts w:hAnsi="宋体"/>
                <w:szCs w:val="21"/>
              </w:rPr>
            </w:pPr>
            <w:r>
              <w:rPr>
                <w:rFonts w:hint="eastAsia" w:ascii="宋体" w:hAnsi="宋体"/>
                <w:szCs w:val="21"/>
              </w:rPr>
              <w:t>满足以上四项要求得10分，满足以上三项要求得6分，满足以上两项要求得4分，满足以上一项要求得2分，其它情况不得分。</w:t>
            </w:r>
          </w:p>
        </w:tc>
        <w:tc>
          <w:tcPr>
            <w:tcW w:w="718" w:type="dxa"/>
            <w:noWrap w:val="0"/>
            <w:vAlign w:val="center"/>
          </w:tcPr>
          <w:p>
            <w:pPr>
              <w:ind w:left="90"/>
              <w:rPr>
                <w:color w:val="FF0000"/>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587" w:hRule="atLeast"/>
          <w:tblCellSpacing w:w="0" w:type="dxa"/>
        </w:trPr>
        <w:tc>
          <w:tcPr>
            <w:tcW w:w="607" w:type="dxa"/>
            <w:noWrap w:val="0"/>
            <w:vAlign w:val="center"/>
          </w:tcPr>
          <w:p>
            <w:pPr>
              <w:ind w:left="91"/>
              <w:jc w:val="center"/>
              <w:rPr>
                <w:szCs w:val="21"/>
              </w:rPr>
            </w:pPr>
            <w:r>
              <w:rPr>
                <w:szCs w:val="21"/>
              </w:rPr>
              <w:t>3</w:t>
            </w:r>
          </w:p>
        </w:tc>
        <w:tc>
          <w:tcPr>
            <w:tcW w:w="1550" w:type="dxa"/>
            <w:noWrap w:val="0"/>
            <w:vAlign w:val="center"/>
          </w:tcPr>
          <w:p>
            <w:pPr>
              <w:jc w:val="center"/>
              <w:rPr>
                <w:szCs w:val="21"/>
              </w:rPr>
            </w:pPr>
            <w:r>
              <w:rPr>
                <w:rFonts w:hint="eastAsia"/>
                <w:szCs w:val="21"/>
              </w:rPr>
              <w:t>项目服务及应急、培训方案</w:t>
            </w:r>
          </w:p>
        </w:tc>
        <w:tc>
          <w:tcPr>
            <w:tcW w:w="708" w:type="dxa"/>
            <w:noWrap w:val="0"/>
            <w:vAlign w:val="center"/>
          </w:tcPr>
          <w:p>
            <w:pPr>
              <w:jc w:val="center"/>
              <w:rPr>
                <w:szCs w:val="21"/>
                <w:highlight w:val="yellow"/>
              </w:rPr>
            </w:pPr>
            <w:r>
              <w:rPr>
                <w:rFonts w:hint="eastAsia"/>
                <w:szCs w:val="21"/>
              </w:rPr>
              <w:t>15</w:t>
            </w:r>
          </w:p>
        </w:tc>
        <w:tc>
          <w:tcPr>
            <w:tcW w:w="5378" w:type="dxa"/>
            <w:noWrap w:val="0"/>
            <w:vAlign w:val="top"/>
          </w:tcPr>
          <w:p>
            <w:pPr>
              <w:snapToGrid w:val="0"/>
              <w:rPr>
                <w:rFonts w:hint="eastAsia" w:ascii="宋体" w:hAnsi="宋体"/>
                <w:szCs w:val="21"/>
              </w:rPr>
            </w:pPr>
            <w:r>
              <w:rPr>
                <w:rFonts w:hint="eastAsia" w:ascii="宋体" w:hAnsi="宋体"/>
                <w:szCs w:val="21"/>
              </w:rPr>
              <w:t>在响应文件中详细说明项目服务及应急、培训方案（包括针对维护项目特点，制定切合本项目的服务方案和服务策略，根据日常维护情况提供预警、升级预告和管理建议等方案及规则，建立完整的技术维护档案维护方案），根据响应情况进行评审：</w:t>
            </w:r>
          </w:p>
          <w:p>
            <w:pPr>
              <w:snapToGrid w:val="0"/>
              <w:rPr>
                <w:rFonts w:ascii="宋体" w:hAnsi="宋体"/>
                <w:szCs w:val="21"/>
              </w:rPr>
            </w:pPr>
            <w:r>
              <w:rPr>
                <w:rFonts w:hint="eastAsia" w:ascii="宋体" w:hAnsi="宋体"/>
                <w:szCs w:val="21"/>
              </w:rPr>
              <w:t>评分标准：</w:t>
            </w:r>
          </w:p>
          <w:p>
            <w:pPr>
              <w:snapToGrid w:val="0"/>
              <w:rPr>
                <w:rFonts w:ascii="宋体" w:hAnsi="宋体"/>
                <w:szCs w:val="21"/>
              </w:rPr>
            </w:pPr>
            <w:r>
              <w:rPr>
                <w:rFonts w:hint="eastAsia" w:ascii="宋体" w:hAnsi="宋体"/>
                <w:szCs w:val="21"/>
              </w:rPr>
              <w:t>（1）项目服务及应急、培训方案内容全面，表述清晰、完整、严谨；</w:t>
            </w:r>
          </w:p>
          <w:p>
            <w:pPr>
              <w:snapToGrid w:val="0"/>
              <w:rPr>
                <w:rFonts w:ascii="宋体" w:hAnsi="宋体"/>
                <w:szCs w:val="21"/>
              </w:rPr>
            </w:pPr>
            <w:r>
              <w:rPr>
                <w:rFonts w:hint="eastAsia" w:ascii="宋体" w:hAnsi="宋体"/>
                <w:szCs w:val="21"/>
              </w:rPr>
              <w:t>（2）</w:t>
            </w:r>
            <w:r>
              <w:rPr>
                <w:rFonts w:hint="eastAsia" w:ascii="宋体" w:hAnsi="宋体"/>
                <w:bCs/>
                <w:szCs w:val="21"/>
              </w:rPr>
              <w:t>项目服务及应急、培训方案</w:t>
            </w:r>
            <w:r>
              <w:rPr>
                <w:rFonts w:hint="eastAsia" w:ascii="宋体" w:hAnsi="宋体"/>
                <w:szCs w:val="21"/>
              </w:rPr>
              <w:t>内容针对性强；</w:t>
            </w:r>
          </w:p>
          <w:p>
            <w:pPr>
              <w:snapToGrid w:val="0"/>
              <w:rPr>
                <w:rFonts w:ascii="宋体" w:hAnsi="宋体"/>
                <w:szCs w:val="21"/>
              </w:rPr>
            </w:pPr>
            <w:r>
              <w:rPr>
                <w:rFonts w:hint="eastAsia" w:ascii="宋体" w:hAnsi="宋体"/>
                <w:szCs w:val="21"/>
              </w:rPr>
              <w:t>（3）</w:t>
            </w:r>
            <w:r>
              <w:rPr>
                <w:rFonts w:hint="eastAsia" w:ascii="宋体" w:hAnsi="宋体"/>
                <w:bCs/>
                <w:szCs w:val="21"/>
              </w:rPr>
              <w:t>项目服务及应急、培训方案</w:t>
            </w:r>
            <w:r>
              <w:rPr>
                <w:rFonts w:hint="eastAsia" w:ascii="宋体" w:hAnsi="宋体"/>
                <w:szCs w:val="21"/>
              </w:rPr>
              <w:t>内容先进，科学合理；</w:t>
            </w:r>
          </w:p>
          <w:p>
            <w:pPr>
              <w:snapToGrid w:val="0"/>
              <w:rPr>
                <w:rFonts w:ascii="宋体" w:hAnsi="宋体"/>
                <w:szCs w:val="21"/>
              </w:rPr>
            </w:pPr>
            <w:r>
              <w:rPr>
                <w:rFonts w:hint="eastAsia" w:ascii="宋体" w:hAnsi="宋体"/>
                <w:szCs w:val="21"/>
              </w:rPr>
              <w:t>（4）</w:t>
            </w:r>
            <w:r>
              <w:rPr>
                <w:rFonts w:hint="eastAsia" w:ascii="宋体" w:hAnsi="宋体"/>
                <w:bCs/>
                <w:szCs w:val="21"/>
              </w:rPr>
              <w:t>项目服务及应急、培训方案</w:t>
            </w:r>
            <w:r>
              <w:rPr>
                <w:rFonts w:hint="eastAsia" w:ascii="宋体" w:hAnsi="宋体"/>
                <w:szCs w:val="21"/>
              </w:rPr>
              <w:t>内容可操作性强；</w:t>
            </w:r>
          </w:p>
          <w:p>
            <w:pPr>
              <w:wordWrap w:val="0"/>
              <w:rPr>
                <w:rFonts w:hAnsi="宋体"/>
                <w:szCs w:val="21"/>
              </w:rPr>
            </w:pPr>
            <w:r>
              <w:rPr>
                <w:rFonts w:hint="eastAsia" w:ascii="宋体" w:hAnsi="宋体"/>
                <w:szCs w:val="21"/>
              </w:rPr>
              <w:t>满足以上四项要求得15分，满足以上三项要求得10分，满足以上两项要求得5分，满足以上一项要求得1分，其它情况不得分。</w:t>
            </w:r>
          </w:p>
        </w:tc>
        <w:tc>
          <w:tcPr>
            <w:tcW w:w="718" w:type="dxa"/>
            <w:noWrap w:val="0"/>
            <w:vAlign w:val="center"/>
          </w:tcPr>
          <w:p>
            <w:pPr>
              <w:ind w:left="90"/>
              <w:rPr>
                <w:color w:val="FF0000"/>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587" w:hRule="atLeast"/>
          <w:tblCellSpacing w:w="0" w:type="dxa"/>
        </w:trPr>
        <w:tc>
          <w:tcPr>
            <w:tcW w:w="607" w:type="dxa"/>
            <w:noWrap w:val="0"/>
            <w:vAlign w:val="center"/>
          </w:tcPr>
          <w:p>
            <w:pPr>
              <w:ind w:left="91"/>
              <w:jc w:val="center"/>
              <w:rPr>
                <w:szCs w:val="21"/>
              </w:rPr>
            </w:pPr>
            <w:r>
              <w:rPr>
                <w:szCs w:val="21"/>
              </w:rPr>
              <w:t>4</w:t>
            </w:r>
          </w:p>
        </w:tc>
        <w:tc>
          <w:tcPr>
            <w:tcW w:w="1550" w:type="dxa"/>
            <w:noWrap w:val="0"/>
            <w:vAlign w:val="center"/>
          </w:tcPr>
          <w:p>
            <w:pPr>
              <w:jc w:val="center"/>
              <w:rPr>
                <w:szCs w:val="21"/>
              </w:rPr>
            </w:pPr>
            <w:r>
              <w:rPr>
                <w:rFonts w:hint="eastAsia"/>
                <w:szCs w:val="21"/>
              </w:rPr>
              <w:t>故障排除及漏洞修复方案</w:t>
            </w:r>
          </w:p>
        </w:tc>
        <w:tc>
          <w:tcPr>
            <w:tcW w:w="708" w:type="dxa"/>
            <w:noWrap w:val="0"/>
            <w:vAlign w:val="center"/>
          </w:tcPr>
          <w:p>
            <w:pPr>
              <w:jc w:val="center"/>
              <w:rPr>
                <w:szCs w:val="21"/>
              </w:rPr>
            </w:pPr>
            <w:r>
              <w:rPr>
                <w:rFonts w:hint="eastAsia"/>
                <w:szCs w:val="21"/>
              </w:rPr>
              <w:t>15</w:t>
            </w:r>
          </w:p>
        </w:tc>
        <w:tc>
          <w:tcPr>
            <w:tcW w:w="5378" w:type="dxa"/>
            <w:noWrap w:val="0"/>
            <w:vAlign w:val="center"/>
          </w:tcPr>
          <w:p>
            <w:pPr>
              <w:pStyle w:val="43"/>
              <w:adjustRightInd w:val="0"/>
              <w:snapToGrid w:val="0"/>
              <w:ind w:firstLine="0" w:firstLineChars="0"/>
              <w:jc w:val="left"/>
              <w:textAlignment w:val="baseline"/>
              <w:rPr>
                <w:rFonts w:hint="eastAsia" w:ascii="宋体" w:hAnsi="宋体" w:cs="宋体"/>
                <w:szCs w:val="21"/>
              </w:rPr>
            </w:pPr>
            <w:r>
              <w:rPr>
                <w:rFonts w:hint="eastAsia" w:ascii="宋体" w:hAnsi="宋体" w:cs="宋体"/>
                <w:szCs w:val="21"/>
              </w:rPr>
              <w:t>在响应文件中详细说明故障排除及漏洞修复方案，根据响应情况进行评审：</w:t>
            </w:r>
          </w:p>
          <w:p>
            <w:pPr>
              <w:pStyle w:val="43"/>
              <w:adjustRightInd w:val="0"/>
              <w:snapToGrid w:val="0"/>
              <w:ind w:firstLine="0" w:firstLineChars="0"/>
              <w:jc w:val="left"/>
              <w:textAlignment w:val="baseline"/>
              <w:rPr>
                <w:rFonts w:ascii="宋体" w:hAnsi="宋体" w:cs="宋体"/>
                <w:szCs w:val="21"/>
              </w:rPr>
            </w:pPr>
            <w:r>
              <w:rPr>
                <w:rFonts w:hint="eastAsia" w:ascii="宋体" w:hAnsi="宋体" w:cs="宋体"/>
                <w:szCs w:val="21"/>
              </w:rPr>
              <w:t>评分标准：</w:t>
            </w:r>
          </w:p>
          <w:p>
            <w:pPr>
              <w:pStyle w:val="43"/>
              <w:adjustRightInd w:val="0"/>
              <w:snapToGrid w:val="0"/>
              <w:ind w:firstLine="0" w:firstLineChars="0"/>
              <w:jc w:val="left"/>
              <w:textAlignment w:val="baseline"/>
              <w:rPr>
                <w:rFonts w:ascii="宋体" w:hAnsi="宋体" w:cs="宋体"/>
                <w:szCs w:val="21"/>
              </w:rPr>
            </w:pPr>
            <w:r>
              <w:rPr>
                <w:rFonts w:hint="eastAsia" w:ascii="宋体" w:hAnsi="宋体" w:cs="宋体"/>
                <w:szCs w:val="21"/>
              </w:rPr>
              <w:t>（1）故障排除及漏洞修复方案内容全面，表述清晰、完整、严谨；</w:t>
            </w:r>
          </w:p>
          <w:p>
            <w:pPr>
              <w:pStyle w:val="43"/>
              <w:adjustRightInd w:val="0"/>
              <w:snapToGrid w:val="0"/>
              <w:ind w:firstLine="0" w:firstLineChars="0"/>
              <w:jc w:val="left"/>
              <w:textAlignment w:val="baseline"/>
              <w:rPr>
                <w:rFonts w:ascii="宋体" w:hAnsi="宋体" w:cs="宋体"/>
                <w:szCs w:val="21"/>
              </w:rPr>
            </w:pPr>
            <w:r>
              <w:rPr>
                <w:rFonts w:hint="eastAsia" w:ascii="宋体" w:hAnsi="宋体" w:cs="宋体"/>
                <w:szCs w:val="21"/>
              </w:rPr>
              <w:t>（2）故障排除及漏洞修复方案内容针对性强；</w:t>
            </w:r>
          </w:p>
          <w:p>
            <w:pPr>
              <w:pStyle w:val="43"/>
              <w:adjustRightInd w:val="0"/>
              <w:snapToGrid w:val="0"/>
              <w:ind w:firstLine="0" w:firstLineChars="0"/>
              <w:jc w:val="left"/>
              <w:textAlignment w:val="baseline"/>
              <w:rPr>
                <w:rFonts w:ascii="宋体" w:hAnsi="宋体" w:cs="宋体"/>
                <w:szCs w:val="21"/>
              </w:rPr>
            </w:pPr>
            <w:r>
              <w:rPr>
                <w:rFonts w:hint="eastAsia" w:ascii="宋体" w:hAnsi="宋体" w:cs="宋体"/>
                <w:szCs w:val="21"/>
              </w:rPr>
              <w:t>（3）故障排除及漏洞修复方案内容先进，科学合理；</w:t>
            </w:r>
          </w:p>
          <w:p>
            <w:pPr>
              <w:pStyle w:val="43"/>
              <w:adjustRightInd w:val="0"/>
              <w:snapToGrid w:val="0"/>
              <w:ind w:firstLine="0" w:firstLineChars="0"/>
              <w:jc w:val="left"/>
              <w:textAlignment w:val="baseline"/>
              <w:rPr>
                <w:rFonts w:ascii="宋体" w:hAnsi="宋体" w:cs="宋体"/>
                <w:szCs w:val="21"/>
              </w:rPr>
            </w:pPr>
            <w:r>
              <w:rPr>
                <w:rFonts w:hint="eastAsia" w:ascii="宋体" w:hAnsi="宋体" w:cs="宋体"/>
                <w:szCs w:val="21"/>
              </w:rPr>
              <w:t>（4）故障排除及漏洞修复方案内容可操作性强；</w:t>
            </w:r>
          </w:p>
          <w:p>
            <w:pPr>
              <w:snapToGrid w:val="0"/>
              <w:rPr>
                <w:rFonts w:ascii="宋体" w:hAnsi="宋体" w:cs="宋体"/>
                <w:szCs w:val="21"/>
              </w:rPr>
            </w:pPr>
            <w:r>
              <w:rPr>
                <w:rFonts w:hint="eastAsia" w:ascii="宋体" w:hAnsi="宋体"/>
                <w:szCs w:val="21"/>
              </w:rPr>
              <w:t>满足以上四项要求得15分，满足以上三项要求得10分，满足以上两项要求得5分，满足以上一项要求得1分，其它情况不得分。</w:t>
            </w:r>
          </w:p>
        </w:tc>
        <w:tc>
          <w:tcPr>
            <w:tcW w:w="718" w:type="dxa"/>
            <w:noWrap w:val="0"/>
            <w:vAlign w:val="center"/>
          </w:tcPr>
          <w:p>
            <w:pPr>
              <w:ind w:left="90"/>
              <w:rPr>
                <w:color w:val="FF0000"/>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587" w:hRule="atLeast"/>
          <w:tblCellSpacing w:w="0" w:type="dxa"/>
        </w:trPr>
        <w:tc>
          <w:tcPr>
            <w:tcW w:w="607" w:type="dxa"/>
            <w:noWrap w:val="0"/>
            <w:vAlign w:val="center"/>
          </w:tcPr>
          <w:p>
            <w:pPr>
              <w:ind w:left="91"/>
              <w:jc w:val="center"/>
              <w:rPr>
                <w:szCs w:val="21"/>
              </w:rPr>
            </w:pPr>
            <w:r>
              <w:rPr>
                <w:rFonts w:hint="eastAsia"/>
                <w:szCs w:val="21"/>
              </w:rPr>
              <w:t>5</w:t>
            </w:r>
          </w:p>
        </w:tc>
        <w:tc>
          <w:tcPr>
            <w:tcW w:w="1550" w:type="dxa"/>
            <w:noWrap w:val="0"/>
            <w:vAlign w:val="center"/>
          </w:tcPr>
          <w:p>
            <w:pPr>
              <w:jc w:val="center"/>
              <w:rPr>
                <w:szCs w:val="21"/>
              </w:rPr>
            </w:pPr>
            <w:r>
              <w:rPr>
                <w:rFonts w:hint="eastAsia"/>
                <w:szCs w:val="21"/>
              </w:rPr>
              <w:t>违约承诺</w:t>
            </w:r>
          </w:p>
        </w:tc>
        <w:tc>
          <w:tcPr>
            <w:tcW w:w="708" w:type="dxa"/>
            <w:noWrap w:val="0"/>
            <w:vAlign w:val="center"/>
          </w:tcPr>
          <w:p>
            <w:pPr>
              <w:jc w:val="center"/>
              <w:rPr>
                <w:szCs w:val="21"/>
              </w:rPr>
            </w:pPr>
            <w:r>
              <w:rPr>
                <w:rFonts w:hint="eastAsia"/>
                <w:szCs w:val="21"/>
              </w:rPr>
              <w:t>10</w:t>
            </w:r>
          </w:p>
        </w:tc>
        <w:tc>
          <w:tcPr>
            <w:tcW w:w="5378" w:type="dxa"/>
            <w:noWrap w:val="0"/>
            <w:vAlign w:val="top"/>
          </w:tcPr>
          <w:p>
            <w:pPr>
              <w:snapToGrid w:val="0"/>
              <w:rPr>
                <w:rFonts w:ascii="宋体" w:hAnsi="宋体" w:cs="宋体"/>
                <w:szCs w:val="21"/>
              </w:rPr>
            </w:pPr>
            <w:r>
              <w:rPr>
                <w:rFonts w:hint="eastAsia" w:ascii="宋体" w:hAnsi="宋体" w:cs="宋体"/>
                <w:szCs w:val="21"/>
              </w:rPr>
              <w:t>在响应文件中详细说明违约承诺，评审委员会根据响应情况进行评审：</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napToGrid w:val="0"/>
              <w:rPr>
                <w:rFonts w:ascii="宋体" w:hAnsi="宋体" w:cs="宋体"/>
                <w:szCs w:val="21"/>
              </w:rPr>
            </w:pPr>
            <w:r>
              <w:rPr>
                <w:rFonts w:hint="eastAsia" w:ascii="宋体" w:hAnsi="宋体" w:cs="宋体"/>
                <w:szCs w:val="21"/>
                <w:lang w:val="zh-CN"/>
              </w:rPr>
              <w:t>评分标准：</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napToGrid w:val="0"/>
              <w:rPr>
                <w:rFonts w:ascii="宋体" w:hAnsi="宋体" w:cs="宋体"/>
                <w:szCs w:val="21"/>
              </w:rPr>
            </w:pPr>
            <w:r>
              <w:rPr>
                <w:rFonts w:hint="eastAsia" w:ascii="宋体" w:hAnsi="宋体" w:cs="宋体"/>
                <w:szCs w:val="21"/>
                <w:lang w:val="zh-CN"/>
              </w:rPr>
              <w:t>（1）</w:t>
            </w:r>
            <w:r>
              <w:rPr>
                <w:rFonts w:hint="eastAsia" w:ascii="宋体" w:hAnsi="宋体" w:cs="宋体"/>
                <w:szCs w:val="21"/>
              </w:rPr>
              <w:t>违约承诺</w:t>
            </w:r>
            <w:r>
              <w:rPr>
                <w:rFonts w:hint="eastAsia" w:ascii="宋体" w:hAnsi="宋体" w:cs="宋体"/>
                <w:szCs w:val="21"/>
                <w:lang w:val="zh-CN"/>
              </w:rPr>
              <w:t>内容全面；</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napToGrid w:val="0"/>
              <w:rPr>
                <w:rFonts w:ascii="宋体" w:hAnsi="宋体" w:cs="宋体"/>
                <w:szCs w:val="21"/>
              </w:rPr>
            </w:pPr>
            <w:r>
              <w:rPr>
                <w:rFonts w:hint="eastAsia" w:ascii="宋体" w:hAnsi="宋体" w:cs="宋体"/>
                <w:szCs w:val="21"/>
                <w:lang w:val="zh-CN"/>
              </w:rPr>
              <w:t>（2）</w:t>
            </w:r>
            <w:r>
              <w:rPr>
                <w:rFonts w:hint="eastAsia" w:ascii="宋体" w:hAnsi="宋体" w:cs="宋体"/>
                <w:szCs w:val="21"/>
              </w:rPr>
              <w:t>违约承诺</w:t>
            </w:r>
            <w:r>
              <w:rPr>
                <w:rFonts w:hint="eastAsia" w:ascii="宋体" w:hAnsi="宋体" w:cs="宋体"/>
                <w:szCs w:val="21"/>
                <w:lang w:val="zh-CN"/>
              </w:rPr>
              <w:t>内容</w:t>
            </w:r>
            <w:r>
              <w:rPr>
                <w:rFonts w:hint="eastAsia" w:ascii="宋体" w:hAnsi="宋体" w:cs="宋体"/>
                <w:szCs w:val="21"/>
              </w:rPr>
              <w:t>详细</w:t>
            </w:r>
            <w:r>
              <w:rPr>
                <w:rFonts w:hint="eastAsia" w:ascii="宋体" w:hAnsi="宋体" w:cs="宋体"/>
                <w:szCs w:val="21"/>
                <w:lang w:val="zh-CN"/>
              </w:rPr>
              <w:t>；</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napToGrid w:val="0"/>
              <w:rPr>
                <w:rFonts w:ascii="宋体" w:hAnsi="宋体" w:cs="宋体"/>
                <w:szCs w:val="21"/>
              </w:rPr>
            </w:pPr>
            <w:r>
              <w:rPr>
                <w:rFonts w:hint="eastAsia" w:ascii="宋体" w:hAnsi="宋体" w:cs="宋体"/>
                <w:szCs w:val="21"/>
                <w:lang w:val="zh-CN"/>
              </w:rPr>
              <w:t>（3）</w:t>
            </w:r>
            <w:r>
              <w:rPr>
                <w:rFonts w:hint="eastAsia" w:ascii="宋体" w:hAnsi="宋体" w:cs="宋体"/>
                <w:szCs w:val="21"/>
              </w:rPr>
              <w:t>违约承诺</w:t>
            </w:r>
            <w:r>
              <w:rPr>
                <w:rFonts w:hint="eastAsia" w:ascii="宋体" w:hAnsi="宋体" w:cs="宋体"/>
                <w:szCs w:val="21"/>
                <w:lang w:val="zh-CN"/>
              </w:rPr>
              <w:t>内容针对性强；</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napToGrid w:val="0"/>
              <w:rPr>
                <w:rFonts w:ascii="宋体" w:hAnsi="宋体" w:cs="宋体"/>
                <w:szCs w:val="21"/>
              </w:rPr>
            </w:pPr>
            <w:r>
              <w:rPr>
                <w:rFonts w:hint="eastAsia" w:ascii="宋体" w:hAnsi="宋体" w:cs="宋体"/>
                <w:szCs w:val="21"/>
                <w:lang w:val="zh-CN"/>
              </w:rPr>
              <w:t>（4）</w:t>
            </w:r>
            <w:r>
              <w:rPr>
                <w:rFonts w:hint="eastAsia" w:ascii="宋体" w:hAnsi="宋体" w:cs="宋体"/>
                <w:szCs w:val="21"/>
              </w:rPr>
              <w:t>违约承诺</w:t>
            </w:r>
            <w:r>
              <w:rPr>
                <w:rFonts w:hint="eastAsia" w:ascii="宋体" w:hAnsi="宋体" w:cs="宋体"/>
                <w:szCs w:val="21"/>
                <w:lang w:val="zh-CN"/>
              </w:rPr>
              <w:t>内容科学合理；</w:t>
            </w:r>
          </w:p>
          <w:p>
            <w:pPr>
              <w:snapToGrid w:val="0"/>
              <w:rPr>
                <w:rFonts w:ascii="宋体" w:hAnsi="宋体"/>
                <w:szCs w:val="21"/>
              </w:rPr>
            </w:pPr>
            <w:r>
              <w:rPr>
                <w:rFonts w:hint="eastAsia" w:ascii="宋体" w:hAnsi="宋体" w:cs="宋体"/>
                <w:szCs w:val="21"/>
                <w:lang w:val="zh-CN"/>
              </w:rPr>
              <w:t>满足以上四项要求得</w:t>
            </w:r>
            <w:r>
              <w:rPr>
                <w:rFonts w:hint="eastAsia" w:ascii="宋体" w:hAnsi="宋体" w:cs="宋体"/>
                <w:szCs w:val="21"/>
              </w:rPr>
              <w:t>10</w:t>
            </w:r>
            <w:r>
              <w:rPr>
                <w:rFonts w:hint="eastAsia" w:ascii="宋体" w:hAnsi="宋体" w:cs="宋体"/>
                <w:szCs w:val="21"/>
                <w:lang w:val="zh-CN"/>
              </w:rPr>
              <w:t>分，满足以上三项要求得</w:t>
            </w:r>
            <w:r>
              <w:rPr>
                <w:rFonts w:hint="eastAsia" w:ascii="宋体" w:hAnsi="宋体" w:cs="宋体"/>
                <w:szCs w:val="21"/>
              </w:rPr>
              <w:t>6</w:t>
            </w:r>
            <w:r>
              <w:rPr>
                <w:rFonts w:hint="eastAsia" w:ascii="宋体" w:hAnsi="宋体" w:cs="宋体"/>
                <w:szCs w:val="21"/>
                <w:lang w:val="zh-CN"/>
              </w:rPr>
              <w:t>分，满足以上两项要求得</w:t>
            </w:r>
            <w:r>
              <w:rPr>
                <w:rFonts w:hint="eastAsia" w:ascii="宋体" w:hAnsi="宋体" w:cs="宋体"/>
                <w:szCs w:val="21"/>
              </w:rPr>
              <w:t>4</w:t>
            </w:r>
            <w:r>
              <w:rPr>
                <w:rFonts w:hint="eastAsia" w:ascii="宋体" w:hAnsi="宋体" w:cs="宋体"/>
                <w:szCs w:val="21"/>
                <w:lang w:val="zh-CN"/>
              </w:rPr>
              <w:t>分，满足以上一项要求得</w:t>
            </w:r>
            <w:r>
              <w:rPr>
                <w:rFonts w:hint="eastAsia" w:ascii="宋体" w:hAnsi="宋体" w:cs="宋体"/>
                <w:szCs w:val="21"/>
              </w:rPr>
              <w:t>2</w:t>
            </w:r>
            <w:r>
              <w:rPr>
                <w:rFonts w:hint="eastAsia" w:ascii="宋体" w:hAnsi="宋体" w:cs="宋体"/>
                <w:szCs w:val="21"/>
                <w:lang w:val="zh-CN"/>
              </w:rPr>
              <w:t>分，其它情况不得分。</w:t>
            </w:r>
          </w:p>
        </w:tc>
        <w:tc>
          <w:tcPr>
            <w:tcW w:w="718" w:type="dxa"/>
            <w:noWrap w:val="0"/>
            <w:vAlign w:val="center"/>
          </w:tcPr>
          <w:p>
            <w:pPr>
              <w:ind w:left="90"/>
              <w:rPr>
                <w:color w:val="FF0000"/>
                <w:szCs w:val="21"/>
              </w:rPr>
            </w:pPr>
          </w:p>
        </w:tc>
      </w:tr>
    </w:tbl>
    <w:p>
      <w:pPr>
        <w:spacing w:line="360" w:lineRule="auto"/>
        <w:rPr>
          <w:rFonts w:hint="eastAsia" w:ascii="宋体" w:hAnsi="宋体"/>
          <w:b/>
          <w:bCs/>
          <w:color w:val="FF0000"/>
          <w:sz w:val="24"/>
        </w:rPr>
      </w:pPr>
    </w:p>
    <w:p>
      <w:pPr>
        <w:spacing w:line="360" w:lineRule="auto"/>
        <w:rPr>
          <w:rStyle w:val="179"/>
          <w:b/>
          <w:bCs/>
          <w:szCs w:val="21"/>
        </w:rPr>
      </w:pPr>
      <w:r>
        <w:rPr>
          <w:rFonts w:hint="eastAsia" w:ascii="宋体" w:hAnsi="宋体"/>
          <w:b/>
          <w:bCs/>
          <w:sz w:val="24"/>
        </w:rPr>
        <w:t>表4：《价格评议指标表》</w:t>
      </w:r>
      <w:r>
        <w:rPr>
          <w:rFonts w:hint="eastAsia" w:ascii="宋体" w:hAnsi="宋体"/>
          <w:bCs/>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分值：10分</w:t>
      </w:r>
      <w:r>
        <w:rPr>
          <w:rFonts w:ascii="宋体" w:hAnsi="宋体"/>
          <w:sz w:val="24"/>
        </w:rPr>
        <w:t>]</w:t>
      </w:r>
    </w:p>
    <w:tbl>
      <w:tblPr>
        <w:tblStyle w:val="26"/>
        <w:tblW w:w="8896"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93"/>
        <w:gridCol w:w="1225"/>
        <w:gridCol w:w="1225"/>
        <w:gridCol w:w="1225"/>
        <w:gridCol w:w="12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460" w:hRule="atLeast"/>
        </w:trPr>
        <w:tc>
          <w:tcPr>
            <w:tcW w:w="3993" w:type="dxa"/>
            <w:tcBorders>
              <w:top w:val="single" w:color="auto" w:sz="6" w:space="0"/>
              <w:left w:val="single" w:color="auto" w:sz="6" w:space="0"/>
              <w:bottom w:val="single" w:color="auto" w:sz="6" w:space="0"/>
              <w:right w:val="single" w:color="auto" w:sz="6" w:space="0"/>
              <w:tl2br w:val="single" w:color="auto" w:sz="4" w:space="0"/>
            </w:tcBorders>
            <w:shd w:val="clear" w:color="auto" w:fill="F3F3F3"/>
            <w:noWrap w:val="0"/>
            <w:vAlign w:val="top"/>
          </w:tcPr>
          <w:p>
            <w:pPr>
              <w:rPr>
                <w:rFonts w:ascii="宋体"/>
                <w:szCs w:val="21"/>
              </w:rPr>
            </w:pPr>
            <w:r>
              <w:rPr>
                <w:rFonts w:hint="eastAsia" w:ascii="宋体" w:hAnsi="宋体"/>
                <w:szCs w:val="21"/>
              </w:rPr>
              <w:t xml:space="preserve">                   供应商</w:t>
            </w:r>
          </w:p>
          <w:p>
            <w:pPr>
              <w:ind w:firstLine="735" w:firstLineChars="350"/>
              <w:rPr>
                <w:rFonts w:ascii="宋体" w:hAnsi="宋体"/>
                <w:szCs w:val="21"/>
              </w:rPr>
            </w:pPr>
            <w:r>
              <w:rPr>
                <w:rFonts w:hint="eastAsia" w:ascii="宋体" w:hAnsi="宋体"/>
                <w:szCs w:val="21"/>
              </w:rPr>
              <w:t>分项</w:t>
            </w:r>
          </w:p>
        </w:tc>
        <w:tc>
          <w:tcPr>
            <w:tcW w:w="1225" w:type="dxa"/>
            <w:tcBorders>
              <w:top w:val="single" w:color="auto" w:sz="6" w:space="0"/>
              <w:left w:val="single" w:color="auto" w:sz="6" w:space="0"/>
              <w:bottom w:val="single" w:color="auto" w:sz="6" w:space="0"/>
              <w:right w:val="single" w:color="auto" w:sz="4" w:space="0"/>
            </w:tcBorders>
            <w:shd w:val="clear" w:color="auto" w:fill="F3F3F3"/>
            <w:noWrap w:val="0"/>
            <w:vAlign w:val="center"/>
          </w:tcPr>
          <w:p>
            <w:pPr>
              <w:jc w:val="center"/>
              <w:rPr>
                <w:b/>
                <w:bCs/>
                <w:szCs w:val="21"/>
              </w:rPr>
            </w:pPr>
          </w:p>
        </w:tc>
        <w:tc>
          <w:tcPr>
            <w:tcW w:w="1225" w:type="dxa"/>
            <w:tcBorders>
              <w:top w:val="single" w:color="auto" w:sz="6" w:space="0"/>
              <w:left w:val="single" w:color="auto" w:sz="4" w:space="0"/>
              <w:bottom w:val="single" w:color="auto" w:sz="6" w:space="0"/>
              <w:right w:val="single" w:color="auto" w:sz="6" w:space="0"/>
            </w:tcBorders>
            <w:shd w:val="clear" w:color="auto" w:fill="F3F3F3"/>
            <w:noWrap w:val="0"/>
            <w:vAlign w:val="center"/>
          </w:tcPr>
          <w:p>
            <w:pPr>
              <w:jc w:val="center"/>
              <w:rPr>
                <w:b/>
                <w:bCs/>
                <w:szCs w:val="21"/>
              </w:rPr>
            </w:pPr>
          </w:p>
        </w:tc>
        <w:tc>
          <w:tcPr>
            <w:tcW w:w="1225" w:type="dxa"/>
            <w:tcBorders>
              <w:top w:val="single" w:color="auto" w:sz="6" w:space="0"/>
              <w:left w:val="single" w:color="auto" w:sz="6" w:space="0"/>
              <w:bottom w:val="single" w:color="auto" w:sz="6" w:space="0"/>
              <w:right w:val="single" w:color="auto" w:sz="4" w:space="0"/>
            </w:tcBorders>
            <w:shd w:val="clear" w:color="auto" w:fill="F3F3F3"/>
            <w:noWrap w:val="0"/>
            <w:vAlign w:val="center"/>
          </w:tcPr>
          <w:p>
            <w:pPr>
              <w:jc w:val="center"/>
              <w:rPr>
                <w:b/>
                <w:bCs/>
                <w:szCs w:val="21"/>
              </w:rPr>
            </w:pPr>
          </w:p>
        </w:tc>
        <w:tc>
          <w:tcPr>
            <w:tcW w:w="1228" w:type="dxa"/>
            <w:tcBorders>
              <w:top w:val="single" w:color="auto" w:sz="6" w:space="0"/>
              <w:left w:val="single" w:color="auto" w:sz="4" w:space="0"/>
              <w:bottom w:val="single" w:color="auto" w:sz="6" w:space="0"/>
              <w:right w:val="single" w:color="auto" w:sz="6" w:space="0"/>
            </w:tcBorders>
            <w:shd w:val="clear" w:color="auto" w:fill="F3F3F3"/>
            <w:noWrap w:val="0"/>
            <w:vAlign w:val="center"/>
          </w:tcPr>
          <w:p>
            <w:pPr>
              <w:jc w:val="center"/>
              <w:rPr>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460" w:hRule="atLeast"/>
        </w:trPr>
        <w:tc>
          <w:tcPr>
            <w:tcW w:w="399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Ansi="宋体"/>
                <w:szCs w:val="21"/>
              </w:rPr>
              <w:t>投标人是否适用《政府采购促进中小企业发展管理办法》或《关于政府采购支持监狱企业发展有关问题的通知》或《财政部、民政部、中国残疾人联合会关于促进残疾人就业政府采购政策的通知》</w:t>
            </w:r>
          </w:p>
        </w:tc>
        <w:tc>
          <w:tcPr>
            <w:tcW w:w="1225" w:type="dxa"/>
            <w:tcBorders>
              <w:top w:val="single" w:color="auto" w:sz="6" w:space="0"/>
              <w:left w:val="single" w:color="auto" w:sz="6" w:space="0"/>
              <w:bottom w:val="single" w:color="auto" w:sz="6" w:space="0"/>
              <w:right w:val="single" w:color="auto" w:sz="4" w:space="0"/>
            </w:tcBorders>
            <w:noWrap w:val="0"/>
            <w:vAlign w:val="center"/>
          </w:tcPr>
          <w:p>
            <w:pPr>
              <w:jc w:val="center"/>
              <w:rPr>
                <w:szCs w:val="21"/>
              </w:rPr>
            </w:pPr>
            <w:r>
              <w:rPr>
                <w:rFonts w:hAnsi="宋体"/>
                <w:szCs w:val="21"/>
              </w:rPr>
              <w:t>适用</w:t>
            </w:r>
            <w:r>
              <w:rPr>
                <w:szCs w:val="21"/>
              </w:rPr>
              <w:t>/</w:t>
            </w:r>
            <w:r>
              <w:rPr>
                <w:rFonts w:hAnsi="宋体"/>
                <w:szCs w:val="21"/>
              </w:rPr>
              <w:t>不适用</w:t>
            </w:r>
          </w:p>
        </w:tc>
        <w:tc>
          <w:tcPr>
            <w:tcW w:w="1225" w:type="dxa"/>
            <w:tcBorders>
              <w:top w:val="single" w:color="auto" w:sz="6" w:space="0"/>
              <w:left w:val="single" w:color="auto" w:sz="4" w:space="0"/>
              <w:bottom w:val="single" w:color="auto" w:sz="6" w:space="0"/>
              <w:right w:val="single" w:color="auto" w:sz="6" w:space="0"/>
            </w:tcBorders>
            <w:noWrap w:val="0"/>
            <w:vAlign w:val="center"/>
          </w:tcPr>
          <w:p>
            <w:pPr>
              <w:jc w:val="center"/>
              <w:rPr>
                <w:szCs w:val="21"/>
              </w:rPr>
            </w:pPr>
            <w:r>
              <w:rPr>
                <w:rFonts w:hAnsi="宋体"/>
                <w:szCs w:val="21"/>
              </w:rPr>
              <w:t>适用</w:t>
            </w:r>
            <w:r>
              <w:rPr>
                <w:szCs w:val="21"/>
              </w:rPr>
              <w:t>/</w:t>
            </w:r>
            <w:r>
              <w:rPr>
                <w:rFonts w:hAnsi="宋体"/>
                <w:szCs w:val="21"/>
              </w:rPr>
              <w:t>不适用</w:t>
            </w:r>
          </w:p>
        </w:tc>
        <w:tc>
          <w:tcPr>
            <w:tcW w:w="1225" w:type="dxa"/>
            <w:tcBorders>
              <w:top w:val="single" w:color="auto" w:sz="6" w:space="0"/>
              <w:left w:val="single" w:color="auto" w:sz="6" w:space="0"/>
              <w:bottom w:val="single" w:color="auto" w:sz="6" w:space="0"/>
              <w:right w:val="single" w:color="auto" w:sz="4" w:space="0"/>
            </w:tcBorders>
            <w:noWrap w:val="0"/>
            <w:vAlign w:val="center"/>
          </w:tcPr>
          <w:p>
            <w:pPr>
              <w:jc w:val="center"/>
              <w:rPr>
                <w:szCs w:val="21"/>
              </w:rPr>
            </w:pPr>
            <w:r>
              <w:rPr>
                <w:rFonts w:hAnsi="宋体"/>
                <w:szCs w:val="21"/>
              </w:rPr>
              <w:t>适用</w:t>
            </w:r>
            <w:r>
              <w:rPr>
                <w:szCs w:val="21"/>
              </w:rPr>
              <w:t>/</w:t>
            </w:r>
            <w:r>
              <w:rPr>
                <w:rFonts w:hAnsi="宋体"/>
                <w:szCs w:val="21"/>
              </w:rPr>
              <w:t>不适用</w:t>
            </w:r>
          </w:p>
        </w:tc>
        <w:tc>
          <w:tcPr>
            <w:tcW w:w="1228" w:type="dxa"/>
            <w:tcBorders>
              <w:top w:val="single" w:color="auto" w:sz="6" w:space="0"/>
              <w:left w:val="single" w:color="auto" w:sz="4" w:space="0"/>
              <w:bottom w:val="single" w:color="auto" w:sz="6" w:space="0"/>
              <w:right w:val="single" w:color="auto" w:sz="6" w:space="0"/>
            </w:tcBorders>
            <w:noWrap w:val="0"/>
            <w:vAlign w:val="center"/>
          </w:tcPr>
          <w:p>
            <w:pPr>
              <w:jc w:val="center"/>
              <w:rPr>
                <w:sz w:val="24"/>
              </w:rPr>
            </w:pPr>
            <w:r>
              <w:rPr>
                <w:rFonts w:hAnsi="宋体"/>
                <w:szCs w:val="21"/>
              </w:rPr>
              <w:t>适用</w:t>
            </w:r>
            <w:r>
              <w:rPr>
                <w:szCs w:val="21"/>
              </w:rPr>
              <w:t>/</w:t>
            </w:r>
            <w:r>
              <w:rPr>
                <w:rFonts w:hAnsi="宋体"/>
                <w:szCs w:val="21"/>
              </w:rPr>
              <w:t>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460" w:hRule="atLeast"/>
        </w:trPr>
        <w:tc>
          <w:tcPr>
            <w:tcW w:w="3993" w:type="dxa"/>
            <w:tcBorders>
              <w:top w:val="single" w:color="auto" w:sz="6" w:space="0"/>
              <w:left w:val="single" w:color="auto" w:sz="6" w:space="0"/>
              <w:bottom w:val="single" w:color="auto" w:sz="6" w:space="0"/>
              <w:right w:val="single" w:color="auto" w:sz="6" w:space="0"/>
            </w:tcBorders>
            <w:noWrap w:val="0"/>
            <w:vAlign w:val="center"/>
          </w:tcPr>
          <w:p>
            <w:pPr>
              <w:jc w:val="center"/>
              <w:rPr>
                <w:szCs w:val="21"/>
              </w:rPr>
            </w:pPr>
            <w:r>
              <w:rPr>
                <w:rFonts w:hint="eastAsia"/>
                <w:szCs w:val="21"/>
              </w:rPr>
              <w:t>投标报价（最终报价）</w:t>
            </w:r>
          </w:p>
        </w:tc>
        <w:tc>
          <w:tcPr>
            <w:tcW w:w="122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sz w:val="24"/>
              </w:rPr>
            </w:pPr>
          </w:p>
        </w:tc>
        <w:tc>
          <w:tcPr>
            <w:tcW w:w="1225" w:type="dxa"/>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sz w:val="24"/>
              </w:rPr>
            </w:pPr>
          </w:p>
        </w:tc>
        <w:tc>
          <w:tcPr>
            <w:tcW w:w="122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sz w:val="24"/>
              </w:rPr>
            </w:pPr>
          </w:p>
        </w:tc>
        <w:tc>
          <w:tcPr>
            <w:tcW w:w="1228" w:type="dxa"/>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460" w:hRule="atLeast"/>
        </w:trPr>
        <w:tc>
          <w:tcPr>
            <w:tcW w:w="399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Ansi="宋体"/>
                <w:szCs w:val="21"/>
              </w:rPr>
              <w:t>评审报价</w:t>
            </w:r>
          </w:p>
        </w:tc>
        <w:tc>
          <w:tcPr>
            <w:tcW w:w="122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sz w:val="24"/>
              </w:rPr>
            </w:pPr>
          </w:p>
        </w:tc>
        <w:tc>
          <w:tcPr>
            <w:tcW w:w="1225" w:type="dxa"/>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sz w:val="24"/>
              </w:rPr>
            </w:pPr>
          </w:p>
        </w:tc>
        <w:tc>
          <w:tcPr>
            <w:tcW w:w="122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sz w:val="24"/>
              </w:rPr>
            </w:pPr>
          </w:p>
        </w:tc>
        <w:tc>
          <w:tcPr>
            <w:tcW w:w="1228" w:type="dxa"/>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460" w:hRule="atLeast"/>
        </w:trPr>
        <w:tc>
          <w:tcPr>
            <w:tcW w:w="3993" w:type="dxa"/>
            <w:tcBorders>
              <w:top w:val="single" w:color="auto" w:sz="6" w:space="0"/>
              <w:left w:val="single" w:color="auto" w:sz="6" w:space="0"/>
              <w:bottom w:val="single" w:color="auto" w:sz="6" w:space="0"/>
              <w:right w:val="single" w:color="auto" w:sz="6" w:space="0"/>
            </w:tcBorders>
            <w:noWrap w:val="0"/>
            <w:vAlign w:val="center"/>
          </w:tcPr>
          <w:p>
            <w:pPr>
              <w:jc w:val="center"/>
              <w:rPr>
                <w:szCs w:val="21"/>
              </w:rPr>
            </w:pPr>
            <w:r>
              <w:rPr>
                <w:rFonts w:hint="eastAsia"/>
                <w:szCs w:val="21"/>
              </w:rPr>
              <w:t>磋商基准价（</w:t>
            </w:r>
            <w:r>
              <w:rPr>
                <w:rFonts w:hint="eastAsia" w:ascii="宋体" w:hAnsi="宋体"/>
                <w:szCs w:val="21"/>
              </w:rPr>
              <w:t>最低</w:t>
            </w:r>
            <w:r>
              <w:rPr>
                <w:rFonts w:hAnsi="宋体"/>
                <w:szCs w:val="21"/>
              </w:rPr>
              <w:t>评审报价</w:t>
            </w:r>
            <w:r>
              <w:rPr>
                <w:rFonts w:hint="eastAsia"/>
                <w:szCs w:val="21"/>
              </w:rPr>
              <w:t>）</w:t>
            </w:r>
          </w:p>
        </w:tc>
        <w:tc>
          <w:tcPr>
            <w:tcW w:w="4903"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460" w:hRule="atLeast"/>
        </w:trPr>
        <w:tc>
          <w:tcPr>
            <w:tcW w:w="399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价格得分</w:t>
            </w:r>
          </w:p>
          <w:p>
            <w:pPr>
              <w:jc w:val="center"/>
              <w:rPr>
                <w:rFonts w:hint="eastAsia"/>
                <w:szCs w:val="21"/>
              </w:rPr>
            </w:pPr>
            <w:r>
              <w:rPr>
                <w:rFonts w:hint="eastAsia"/>
                <w:szCs w:val="21"/>
              </w:rPr>
              <w:t>=(磋商基准价/评审报价)×10</w:t>
            </w:r>
          </w:p>
        </w:tc>
        <w:tc>
          <w:tcPr>
            <w:tcW w:w="122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szCs w:val="21"/>
              </w:rPr>
            </w:pPr>
          </w:p>
        </w:tc>
        <w:tc>
          <w:tcPr>
            <w:tcW w:w="1225" w:type="dxa"/>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szCs w:val="21"/>
              </w:rPr>
            </w:pPr>
          </w:p>
        </w:tc>
        <w:tc>
          <w:tcPr>
            <w:tcW w:w="1225"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szCs w:val="21"/>
              </w:rPr>
            </w:pPr>
          </w:p>
        </w:tc>
        <w:tc>
          <w:tcPr>
            <w:tcW w:w="1228" w:type="dxa"/>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szCs w:val="21"/>
              </w:rPr>
            </w:pPr>
          </w:p>
        </w:tc>
      </w:tr>
    </w:tbl>
    <w:p>
      <w:pPr>
        <w:spacing w:after="72" w:line="400" w:lineRule="exact"/>
        <w:ind w:left="420" w:leftChars="200"/>
        <w:rPr>
          <w:rFonts w:hint="eastAsia"/>
        </w:rPr>
      </w:pPr>
      <w:r>
        <w:rPr>
          <w:rFonts w:hint="eastAsia"/>
        </w:rPr>
        <w:t>注：磋商小组以所有通过了符合性检查的</w:t>
      </w:r>
      <w:r>
        <w:rPr>
          <w:rFonts w:hint="eastAsia" w:ascii="宋体" w:hAnsi="宋体"/>
          <w:szCs w:val="21"/>
        </w:rPr>
        <w:t>供应商</w:t>
      </w:r>
      <w:r>
        <w:rPr>
          <w:rFonts w:hint="eastAsia"/>
        </w:rPr>
        <w:t>评审报价中的最低价为</w:t>
      </w:r>
      <w:r>
        <w:rPr>
          <w:rFonts w:hint="eastAsia"/>
          <w:szCs w:val="21"/>
        </w:rPr>
        <w:t>磋商基准价</w:t>
      </w:r>
      <w:r>
        <w:rPr>
          <w:rFonts w:hint="eastAsia"/>
        </w:rPr>
        <w:t>。</w:t>
      </w:r>
    </w:p>
    <w:p>
      <w:pPr>
        <w:spacing w:after="72" w:line="400" w:lineRule="exact"/>
        <w:ind w:left="420" w:leftChars="200"/>
        <w:rPr>
          <w:rFonts w:hint="eastAsia"/>
          <w:color w:val="FF0000"/>
        </w:rPr>
      </w:pPr>
      <w:r>
        <w:rPr>
          <w:rFonts w:hint="eastAsia"/>
        </w:rPr>
        <w:t>因落实政府采购政策进行价格调整的，以调整后的价格计算最后磋商报价得分。</w:t>
      </w:r>
      <w:r>
        <w:rPr>
          <w:rFonts w:hAnsi="宋体"/>
          <w:b/>
        </w:rPr>
        <w:t>投标人评审报价</w:t>
      </w:r>
      <w:r>
        <w:rPr>
          <w:b/>
        </w:rPr>
        <w:t>=</w:t>
      </w:r>
      <w:r>
        <w:rPr>
          <w:rFonts w:hAnsi="宋体"/>
          <w:b/>
        </w:rPr>
        <w:t>投标报价</w:t>
      </w:r>
      <w:r>
        <w:rPr>
          <w:b/>
        </w:rPr>
        <w:t>*</w:t>
      </w:r>
      <w:r>
        <w:rPr>
          <w:rFonts w:hAnsi="宋体"/>
          <w:b/>
        </w:rPr>
        <w:t>（</w:t>
      </w:r>
      <w:r>
        <w:rPr>
          <w:b/>
        </w:rPr>
        <w:t>1</w:t>
      </w:r>
      <w:r>
        <w:rPr>
          <w:rFonts w:hAnsi="宋体"/>
          <w:b/>
        </w:rPr>
        <w:t>－</w:t>
      </w:r>
      <w:r>
        <w:rPr>
          <w:b/>
        </w:rPr>
        <w:t>10%</w:t>
      </w:r>
      <w:r>
        <w:rPr>
          <w:rFonts w:hAnsi="宋体"/>
          <w:b/>
        </w:rPr>
        <w:t>）</w:t>
      </w:r>
      <w:r>
        <w:rPr>
          <w:rFonts w:hint="eastAsia"/>
        </w:rPr>
        <w:t>。</w:t>
      </w:r>
      <w:r>
        <w:rPr>
          <w:color w:val="FF0000"/>
        </w:rPr>
        <w:br w:type="page"/>
      </w: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pStyle w:val="2"/>
        <w:jc w:val="center"/>
        <w:rPr>
          <w:rFonts w:hint="eastAsia" w:ascii="华文新魏" w:eastAsia="华文新魏"/>
          <w:sz w:val="72"/>
          <w:szCs w:val="72"/>
        </w:rPr>
      </w:pPr>
      <w:bookmarkStart w:id="40" w:name="_Toc161306882"/>
      <w:r>
        <w:rPr>
          <w:rFonts w:hint="eastAsia" w:ascii="华文新魏" w:eastAsia="华文新魏"/>
          <w:sz w:val="72"/>
          <w:szCs w:val="72"/>
        </w:rPr>
        <w:t>第四章 磋商应答文件格式</w:t>
      </w:r>
      <w:bookmarkEnd w:id="40"/>
    </w:p>
    <w:p>
      <w:pPr>
        <w:jc w:val="center"/>
        <w:rPr>
          <w:rFonts w:hint="eastAsia"/>
          <w:b/>
          <w:sz w:val="32"/>
          <w:szCs w:val="32"/>
        </w:rPr>
      </w:pPr>
      <w:r>
        <w:rPr>
          <w:rFonts w:hint="eastAsia"/>
          <w:b/>
          <w:sz w:val="32"/>
          <w:szCs w:val="32"/>
        </w:rPr>
        <w:t>供应商（投标人）根据本章内容编制《磋商应答文件》</w:t>
      </w:r>
    </w:p>
    <w:p>
      <w:pPr>
        <w:rPr>
          <w:rFonts w:hint="eastAsia"/>
        </w:rPr>
      </w:pPr>
    </w:p>
    <w:p>
      <w:pPr>
        <w:jc w:val="center"/>
        <w:rPr>
          <w:rFonts w:hint="eastAsia"/>
        </w:rPr>
      </w:pPr>
      <w:r>
        <w:rPr>
          <w:rFonts w:hint="eastAsia"/>
          <w:b/>
          <w:sz w:val="28"/>
          <w:szCs w:val="28"/>
        </w:rPr>
        <w:t>（须装订成册，且含封面、目录和页码）</w:t>
      </w: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pStyle w:val="4"/>
        <w:snapToGrid w:val="0"/>
        <w:spacing w:before="0" w:after="0" w:line="360" w:lineRule="auto"/>
        <w:jc w:val="center"/>
        <w:rPr>
          <w:rFonts w:hint="eastAsia" w:ascii="黑体" w:hAnsi="黑体" w:eastAsia="黑体"/>
        </w:rPr>
      </w:pPr>
      <w:bookmarkStart w:id="41" w:name="_Toc21441155"/>
      <w:bookmarkStart w:id="42" w:name="_Toc308613864"/>
      <w:bookmarkStart w:id="43" w:name="_Toc279591550"/>
      <w:bookmarkStart w:id="44" w:name="_Toc136757568"/>
      <w:r>
        <w:rPr>
          <w:rFonts w:ascii="黑体" w:hAnsi="黑体" w:eastAsia="黑体"/>
          <w:b w:val="0"/>
          <w:color w:val="FF0000"/>
        </w:rPr>
        <w:br w:type="page"/>
      </w:r>
      <w:bookmarkStart w:id="45" w:name="_Toc161306883"/>
      <w:r>
        <w:rPr>
          <w:rFonts w:hint="eastAsia" w:ascii="黑体" w:hAnsi="黑体" w:eastAsia="黑体"/>
        </w:rPr>
        <w:t>1、综合评分指引表</w:t>
      </w:r>
      <w:bookmarkEnd w:id="41"/>
      <w:bookmarkEnd w:id="42"/>
      <w:bookmarkEnd w:id="43"/>
      <w:bookmarkEnd w:id="45"/>
    </w:p>
    <w:p>
      <w:pPr>
        <w:spacing w:line="360" w:lineRule="auto"/>
        <w:jc w:val="center"/>
        <w:rPr>
          <w:rFonts w:hint="eastAsia" w:ascii="宋体" w:hAnsi="宋体"/>
          <w:b/>
          <w:sz w:val="24"/>
        </w:rPr>
      </w:pPr>
      <w:bookmarkStart w:id="46" w:name="_Toc21441156"/>
      <w:bookmarkStart w:id="47" w:name="_Toc308613865"/>
      <w:bookmarkStart w:id="48" w:name="_Toc279591551"/>
    </w:p>
    <w:p>
      <w:pPr>
        <w:spacing w:line="360" w:lineRule="auto"/>
        <w:jc w:val="center"/>
        <w:rPr>
          <w:rFonts w:hint="eastAsia" w:ascii="宋体" w:hAnsi="宋体"/>
          <w:b/>
          <w:sz w:val="24"/>
        </w:rPr>
      </w:pPr>
      <w:r>
        <w:rPr>
          <w:rFonts w:hint="eastAsia" w:ascii="宋体" w:hAnsi="宋体"/>
          <w:b/>
          <w:sz w:val="24"/>
        </w:rPr>
        <w:t>1-1商务评分指引表</w:t>
      </w:r>
      <w:bookmarkEnd w:id="46"/>
      <w:bookmarkEnd w:id="47"/>
      <w:bookmarkEnd w:id="48"/>
    </w:p>
    <w:tbl>
      <w:tblPr>
        <w:tblStyle w:val="26"/>
        <w:tblW w:w="0" w:type="auto"/>
        <w:jc w:val="center"/>
        <w:tblCellSpacing w:w="0"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480"/>
        <w:gridCol w:w="1060"/>
        <w:gridCol w:w="5444"/>
        <w:gridCol w:w="1410"/>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PrEx>
        <w:trPr>
          <w:wBefore w:w="0" w:type="dxa"/>
          <w:wAfter w:w="0" w:type="dxa"/>
          <w:trHeight w:val="20" w:hRule="atLeast"/>
          <w:tblCellSpacing w:w="0" w:type="dxa"/>
          <w:jc w:val="center"/>
        </w:trPr>
        <w:tc>
          <w:tcPr>
            <w:tcW w:w="480" w:type="dxa"/>
            <w:shd w:val="clear" w:color="auto" w:fill="F3F3F3"/>
            <w:noWrap w:val="0"/>
            <w:vAlign w:val="center"/>
          </w:tcPr>
          <w:p>
            <w:pPr>
              <w:spacing w:line="360" w:lineRule="auto"/>
              <w:jc w:val="center"/>
              <w:rPr>
                <w:rFonts w:ascii="宋体" w:hAnsi="宋体"/>
                <w:szCs w:val="21"/>
              </w:rPr>
            </w:pPr>
            <w:r>
              <w:rPr>
                <w:rFonts w:ascii="宋体" w:hAnsi="宋体"/>
                <w:szCs w:val="21"/>
              </w:rPr>
              <w:t>序号</w:t>
            </w:r>
          </w:p>
        </w:tc>
        <w:tc>
          <w:tcPr>
            <w:tcW w:w="1060" w:type="dxa"/>
            <w:shd w:val="clear" w:color="auto" w:fill="F3F3F3"/>
            <w:noWrap w:val="0"/>
            <w:vAlign w:val="center"/>
          </w:tcPr>
          <w:p>
            <w:pPr>
              <w:spacing w:line="360" w:lineRule="auto"/>
              <w:jc w:val="center"/>
              <w:rPr>
                <w:rFonts w:ascii="宋体" w:hAnsi="宋体"/>
                <w:szCs w:val="21"/>
              </w:rPr>
            </w:pPr>
            <w:r>
              <w:rPr>
                <w:rFonts w:ascii="宋体" w:hAnsi="宋体"/>
                <w:szCs w:val="21"/>
              </w:rPr>
              <w:t>内    容</w:t>
            </w:r>
          </w:p>
        </w:tc>
        <w:tc>
          <w:tcPr>
            <w:tcW w:w="5444" w:type="dxa"/>
            <w:shd w:val="clear" w:color="auto" w:fill="F3F3F3"/>
            <w:noWrap w:val="0"/>
            <w:vAlign w:val="center"/>
          </w:tcPr>
          <w:p>
            <w:pPr>
              <w:spacing w:line="360" w:lineRule="auto"/>
              <w:jc w:val="center"/>
              <w:rPr>
                <w:rFonts w:ascii="宋体" w:hAnsi="宋体"/>
                <w:szCs w:val="21"/>
              </w:rPr>
            </w:pPr>
            <w:r>
              <w:rPr>
                <w:rFonts w:ascii="宋体" w:hAnsi="宋体"/>
                <w:szCs w:val="21"/>
              </w:rPr>
              <w:t>评分标准</w:t>
            </w:r>
          </w:p>
        </w:tc>
        <w:tc>
          <w:tcPr>
            <w:tcW w:w="1410" w:type="dxa"/>
            <w:shd w:val="clear" w:color="auto" w:fill="F3F3F3"/>
            <w:noWrap w:val="0"/>
            <w:vAlign w:val="center"/>
          </w:tcPr>
          <w:p>
            <w:pPr>
              <w:spacing w:line="360" w:lineRule="auto"/>
              <w:jc w:val="center"/>
              <w:rPr>
                <w:rFonts w:hint="eastAsia" w:ascii="宋体" w:hAnsi="宋体"/>
                <w:szCs w:val="21"/>
              </w:rPr>
            </w:pPr>
            <w:r>
              <w:rPr>
                <w:rFonts w:hint="eastAsia" w:ascii="宋体" w:hAnsi="宋体"/>
                <w:szCs w:val="21"/>
              </w:rPr>
              <w:t>磋商</w:t>
            </w:r>
          </w:p>
          <w:p>
            <w:pPr>
              <w:spacing w:line="360" w:lineRule="auto"/>
              <w:jc w:val="center"/>
              <w:rPr>
                <w:rFonts w:ascii="宋体" w:hAnsi="宋体"/>
                <w:szCs w:val="21"/>
              </w:rPr>
            </w:pPr>
            <w:r>
              <w:rPr>
                <w:rFonts w:hint="eastAsia" w:ascii="宋体" w:hAnsi="宋体"/>
                <w:szCs w:val="21"/>
              </w:rPr>
              <w:t>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1709" w:hRule="atLeast"/>
          <w:tblCellSpacing w:w="0" w:type="dxa"/>
          <w:jc w:val="center"/>
        </w:trPr>
        <w:tc>
          <w:tcPr>
            <w:tcW w:w="480" w:type="dxa"/>
            <w:noWrap w:val="0"/>
            <w:vAlign w:val="center"/>
          </w:tcPr>
          <w:p>
            <w:pPr>
              <w:spacing w:line="360" w:lineRule="auto"/>
              <w:jc w:val="center"/>
              <w:rPr>
                <w:rFonts w:ascii="宋体" w:hAnsi="宋体"/>
                <w:szCs w:val="21"/>
              </w:rPr>
            </w:pPr>
            <w:r>
              <w:rPr>
                <w:rFonts w:ascii="宋体" w:hAnsi="宋体"/>
                <w:szCs w:val="21"/>
              </w:rPr>
              <w:t>1</w:t>
            </w:r>
          </w:p>
        </w:tc>
        <w:tc>
          <w:tcPr>
            <w:tcW w:w="1060" w:type="dxa"/>
            <w:noWrap w:val="0"/>
            <w:vAlign w:val="center"/>
          </w:tcPr>
          <w:p>
            <w:pPr>
              <w:spacing w:line="360" w:lineRule="auto"/>
              <w:jc w:val="center"/>
              <w:rPr>
                <w:rFonts w:ascii="宋体" w:hAnsi="宋体"/>
                <w:szCs w:val="21"/>
              </w:rPr>
            </w:pPr>
            <w:r>
              <w:rPr>
                <w:rFonts w:ascii="宋体" w:hAnsi="宋体"/>
                <w:szCs w:val="21"/>
              </w:rPr>
              <w:t>……</w:t>
            </w:r>
          </w:p>
        </w:tc>
        <w:tc>
          <w:tcPr>
            <w:tcW w:w="5444" w:type="dxa"/>
            <w:noWrap w:val="0"/>
            <w:vAlign w:val="center"/>
          </w:tcPr>
          <w:p>
            <w:pPr>
              <w:spacing w:line="360" w:lineRule="auto"/>
              <w:ind w:left="405"/>
              <w:rPr>
                <w:rFonts w:ascii="宋体" w:hAnsi="宋体"/>
                <w:szCs w:val="21"/>
              </w:rPr>
            </w:pPr>
            <w:r>
              <w:rPr>
                <w:rFonts w:ascii="宋体" w:hAnsi="宋体"/>
                <w:szCs w:val="21"/>
              </w:rPr>
              <w:t>……</w:t>
            </w:r>
          </w:p>
        </w:tc>
        <w:tc>
          <w:tcPr>
            <w:tcW w:w="1410" w:type="dxa"/>
            <w:noWrap w:val="0"/>
            <w:vAlign w:val="center"/>
          </w:tcPr>
          <w:p>
            <w:pPr>
              <w:spacing w:line="360" w:lineRule="auto"/>
              <w:jc w:val="center"/>
              <w:rPr>
                <w:rFonts w:ascii="宋体" w:hAnsi="宋体"/>
                <w:szCs w:val="21"/>
              </w:rPr>
            </w:pPr>
            <w:r>
              <w:rPr>
                <w:rFonts w:hint="eastAsia" w:ascii="宋体" w:hAnsi="宋体"/>
                <w:szCs w:val="21"/>
              </w:rPr>
              <w:t>见磋商应答文件第（）页</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1709" w:hRule="atLeast"/>
          <w:tblCellSpacing w:w="0" w:type="dxa"/>
          <w:jc w:val="center"/>
        </w:trPr>
        <w:tc>
          <w:tcPr>
            <w:tcW w:w="480"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1060" w:type="dxa"/>
            <w:noWrap w:val="0"/>
            <w:vAlign w:val="center"/>
          </w:tcPr>
          <w:p>
            <w:pPr>
              <w:spacing w:line="360" w:lineRule="auto"/>
              <w:jc w:val="center"/>
              <w:rPr>
                <w:rFonts w:ascii="宋体" w:hAnsi="宋体"/>
                <w:szCs w:val="21"/>
              </w:rPr>
            </w:pPr>
            <w:r>
              <w:rPr>
                <w:rFonts w:ascii="宋体" w:hAnsi="宋体"/>
                <w:szCs w:val="21"/>
              </w:rPr>
              <w:t>……</w:t>
            </w:r>
          </w:p>
        </w:tc>
        <w:tc>
          <w:tcPr>
            <w:tcW w:w="5444" w:type="dxa"/>
            <w:noWrap w:val="0"/>
            <w:vAlign w:val="center"/>
          </w:tcPr>
          <w:p>
            <w:pPr>
              <w:spacing w:line="360" w:lineRule="auto"/>
              <w:ind w:left="405"/>
              <w:rPr>
                <w:rFonts w:ascii="宋体" w:hAnsi="宋体"/>
                <w:szCs w:val="21"/>
              </w:rPr>
            </w:pPr>
            <w:r>
              <w:rPr>
                <w:rFonts w:ascii="宋体" w:hAnsi="宋体"/>
                <w:szCs w:val="21"/>
              </w:rPr>
              <w:t>……</w:t>
            </w:r>
          </w:p>
        </w:tc>
        <w:tc>
          <w:tcPr>
            <w:tcW w:w="1410" w:type="dxa"/>
            <w:noWrap w:val="0"/>
            <w:vAlign w:val="center"/>
          </w:tcPr>
          <w:p>
            <w:pPr>
              <w:spacing w:line="360" w:lineRule="auto"/>
              <w:jc w:val="center"/>
              <w:rPr>
                <w:rFonts w:hint="eastAsia" w:ascii="宋体" w:hAnsi="宋体"/>
                <w:szCs w:val="21"/>
              </w:rPr>
            </w:pPr>
            <w:r>
              <w:rPr>
                <w:rFonts w:hint="eastAsia" w:ascii="宋体" w:hAnsi="宋体"/>
                <w:szCs w:val="21"/>
              </w:rPr>
              <w:t>见磋商应答文件第（）页</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1709" w:hRule="atLeast"/>
          <w:tblCellSpacing w:w="0" w:type="dxa"/>
          <w:jc w:val="center"/>
        </w:trPr>
        <w:tc>
          <w:tcPr>
            <w:tcW w:w="480" w:type="dxa"/>
            <w:noWrap w:val="0"/>
            <w:vAlign w:val="center"/>
          </w:tcPr>
          <w:p>
            <w:pPr>
              <w:spacing w:line="360" w:lineRule="auto"/>
              <w:jc w:val="center"/>
              <w:rPr>
                <w:rFonts w:hint="eastAsia" w:ascii="宋体" w:hAnsi="宋体"/>
                <w:szCs w:val="21"/>
              </w:rPr>
            </w:pPr>
            <w:r>
              <w:rPr>
                <w:rFonts w:hint="eastAsia" w:ascii="宋体" w:hAnsi="宋体"/>
                <w:szCs w:val="21"/>
              </w:rPr>
              <w:t>3</w:t>
            </w:r>
          </w:p>
        </w:tc>
        <w:tc>
          <w:tcPr>
            <w:tcW w:w="1060" w:type="dxa"/>
            <w:noWrap w:val="0"/>
            <w:vAlign w:val="center"/>
          </w:tcPr>
          <w:p>
            <w:pPr>
              <w:spacing w:line="360" w:lineRule="auto"/>
              <w:jc w:val="center"/>
              <w:rPr>
                <w:rFonts w:ascii="宋体" w:hAnsi="宋体"/>
                <w:szCs w:val="21"/>
              </w:rPr>
            </w:pPr>
            <w:r>
              <w:rPr>
                <w:rFonts w:ascii="宋体" w:hAnsi="宋体"/>
                <w:szCs w:val="21"/>
              </w:rPr>
              <w:t>……</w:t>
            </w:r>
          </w:p>
        </w:tc>
        <w:tc>
          <w:tcPr>
            <w:tcW w:w="5444" w:type="dxa"/>
            <w:noWrap w:val="0"/>
            <w:vAlign w:val="center"/>
          </w:tcPr>
          <w:p>
            <w:pPr>
              <w:spacing w:line="360" w:lineRule="auto"/>
              <w:ind w:left="405"/>
              <w:rPr>
                <w:rFonts w:ascii="宋体" w:hAnsi="宋体"/>
                <w:szCs w:val="21"/>
              </w:rPr>
            </w:pPr>
            <w:r>
              <w:rPr>
                <w:rFonts w:ascii="宋体" w:hAnsi="宋体"/>
                <w:szCs w:val="21"/>
              </w:rPr>
              <w:t>……</w:t>
            </w:r>
          </w:p>
        </w:tc>
        <w:tc>
          <w:tcPr>
            <w:tcW w:w="1410" w:type="dxa"/>
            <w:noWrap w:val="0"/>
            <w:vAlign w:val="center"/>
          </w:tcPr>
          <w:p>
            <w:pPr>
              <w:spacing w:line="360" w:lineRule="auto"/>
              <w:jc w:val="center"/>
              <w:rPr>
                <w:rFonts w:hint="eastAsia" w:ascii="宋体" w:hAnsi="宋体"/>
                <w:szCs w:val="21"/>
              </w:rPr>
            </w:pPr>
            <w:r>
              <w:rPr>
                <w:rFonts w:hint="eastAsia" w:ascii="宋体" w:hAnsi="宋体"/>
                <w:szCs w:val="21"/>
              </w:rPr>
              <w:t>见磋商应答文件第（）页</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PrEx>
        <w:trPr>
          <w:wBefore w:w="0" w:type="dxa"/>
          <w:wAfter w:w="0" w:type="dxa"/>
          <w:trHeight w:val="1709" w:hRule="atLeast"/>
          <w:tblCellSpacing w:w="0" w:type="dxa"/>
          <w:jc w:val="center"/>
        </w:trPr>
        <w:tc>
          <w:tcPr>
            <w:tcW w:w="480" w:type="dxa"/>
            <w:noWrap w:val="0"/>
            <w:vAlign w:val="center"/>
          </w:tcPr>
          <w:p>
            <w:pPr>
              <w:spacing w:line="360" w:lineRule="auto"/>
              <w:jc w:val="center"/>
              <w:rPr>
                <w:rFonts w:hint="eastAsia" w:ascii="宋体" w:hAnsi="宋体"/>
                <w:szCs w:val="21"/>
              </w:rPr>
            </w:pPr>
            <w:r>
              <w:rPr>
                <w:rFonts w:ascii="宋体" w:hAnsi="宋体"/>
                <w:szCs w:val="21"/>
              </w:rPr>
              <w:t>……</w:t>
            </w:r>
          </w:p>
        </w:tc>
        <w:tc>
          <w:tcPr>
            <w:tcW w:w="1060" w:type="dxa"/>
            <w:noWrap w:val="0"/>
            <w:vAlign w:val="center"/>
          </w:tcPr>
          <w:p>
            <w:pPr>
              <w:spacing w:line="360" w:lineRule="auto"/>
              <w:jc w:val="center"/>
              <w:rPr>
                <w:rFonts w:hint="eastAsia" w:ascii="宋体" w:hAnsi="宋体"/>
                <w:szCs w:val="21"/>
              </w:rPr>
            </w:pPr>
          </w:p>
        </w:tc>
        <w:tc>
          <w:tcPr>
            <w:tcW w:w="5444" w:type="dxa"/>
            <w:noWrap w:val="0"/>
            <w:vAlign w:val="center"/>
          </w:tcPr>
          <w:p>
            <w:pPr>
              <w:spacing w:line="360" w:lineRule="auto"/>
              <w:ind w:left="405"/>
              <w:rPr>
                <w:rFonts w:hint="eastAsia" w:ascii="宋体" w:hAnsi="宋体"/>
                <w:szCs w:val="21"/>
              </w:rPr>
            </w:pPr>
            <w:r>
              <w:rPr>
                <w:rFonts w:ascii="宋体" w:hAnsi="宋体"/>
                <w:szCs w:val="21"/>
              </w:rPr>
              <w:t>……</w:t>
            </w:r>
          </w:p>
        </w:tc>
        <w:tc>
          <w:tcPr>
            <w:tcW w:w="1410" w:type="dxa"/>
            <w:noWrap w:val="0"/>
            <w:vAlign w:val="center"/>
          </w:tcPr>
          <w:p>
            <w:pPr>
              <w:spacing w:line="360" w:lineRule="auto"/>
              <w:jc w:val="center"/>
              <w:rPr>
                <w:rFonts w:hint="eastAsia" w:ascii="宋体" w:hAnsi="宋体"/>
                <w:szCs w:val="21"/>
              </w:rPr>
            </w:pPr>
            <w:r>
              <w:rPr>
                <w:rFonts w:hint="eastAsia" w:ascii="宋体" w:hAnsi="宋体"/>
                <w:szCs w:val="21"/>
              </w:rPr>
              <w:t>见磋商应答文件第（）页</w:t>
            </w:r>
          </w:p>
        </w:tc>
      </w:tr>
    </w:tbl>
    <w:p>
      <w:pPr>
        <w:spacing w:line="240" w:lineRule="exact"/>
        <w:ind w:left="405"/>
        <w:rPr>
          <w:rFonts w:hint="eastAsia" w:ascii="宋体" w:hAnsi="宋体"/>
          <w:szCs w:val="21"/>
        </w:rPr>
      </w:pPr>
    </w:p>
    <w:p>
      <w:pPr>
        <w:spacing w:line="240" w:lineRule="exact"/>
        <w:ind w:left="405"/>
        <w:rPr>
          <w:rFonts w:hint="eastAsia" w:ascii="宋体" w:hAnsi="宋体"/>
          <w:szCs w:val="21"/>
        </w:rPr>
      </w:pPr>
    </w:p>
    <w:p>
      <w:pPr>
        <w:spacing w:line="360" w:lineRule="auto"/>
        <w:rPr>
          <w:rFonts w:hint="eastAsia"/>
          <w:b/>
          <w:color w:val="FF0000"/>
          <w:szCs w:val="21"/>
        </w:rPr>
      </w:pPr>
      <w:r>
        <w:rPr>
          <w:rFonts w:hint="eastAsia"/>
          <w:b/>
          <w:szCs w:val="21"/>
        </w:rPr>
        <w:t>注</w:t>
      </w:r>
      <w:r>
        <w:rPr>
          <w:b/>
          <w:szCs w:val="21"/>
        </w:rPr>
        <w:t>：此表</w:t>
      </w:r>
      <w:r>
        <w:rPr>
          <w:rFonts w:hint="eastAsia"/>
          <w:b/>
          <w:szCs w:val="21"/>
        </w:rPr>
        <w:t>格式及内容应按照《竞争性磋商文件》第三章</w:t>
      </w:r>
      <w:r>
        <w:rPr>
          <w:b/>
          <w:szCs w:val="21"/>
        </w:rPr>
        <w:t xml:space="preserve"> </w:t>
      </w:r>
      <w:r>
        <w:rPr>
          <w:rFonts w:hint="eastAsia"/>
          <w:b/>
          <w:szCs w:val="21"/>
        </w:rPr>
        <w:t>评审办法 二、评标表格中 表2：《商务评议指标表》中调整及填写。须逐条填写所有评分项。</w:t>
      </w: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240" w:lineRule="exact"/>
        <w:ind w:left="405"/>
        <w:rPr>
          <w:rFonts w:hint="eastAsia" w:ascii="宋体" w:hAnsi="宋体"/>
          <w:color w:val="FF0000"/>
          <w:szCs w:val="21"/>
        </w:rPr>
      </w:pPr>
    </w:p>
    <w:p>
      <w:pPr>
        <w:spacing w:line="360" w:lineRule="auto"/>
        <w:jc w:val="center"/>
        <w:rPr>
          <w:rFonts w:hint="eastAsia" w:ascii="宋体" w:hAnsi="宋体"/>
          <w:b/>
          <w:sz w:val="24"/>
        </w:rPr>
      </w:pPr>
      <w:bookmarkStart w:id="49" w:name="_Toc308613866"/>
      <w:bookmarkStart w:id="50" w:name="_Toc21441157"/>
      <w:bookmarkStart w:id="51" w:name="_Toc279591552"/>
      <w:r>
        <w:rPr>
          <w:rFonts w:hint="eastAsia" w:ascii="宋体" w:hAnsi="宋体"/>
          <w:b/>
          <w:sz w:val="24"/>
        </w:rPr>
        <w:t>1-2技术评分指引表</w:t>
      </w:r>
      <w:bookmarkEnd w:id="49"/>
      <w:bookmarkEnd w:id="50"/>
      <w:bookmarkEnd w:id="51"/>
    </w:p>
    <w:tbl>
      <w:tblPr>
        <w:tblStyle w:val="26"/>
        <w:tblW w:w="0" w:type="auto"/>
        <w:jc w:val="center"/>
        <w:tblCellSpacing w:w="0"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480"/>
        <w:gridCol w:w="1060"/>
        <w:gridCol w:w="5444"/>
        <w:gridCol w:w="1410"/>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20" w:hRule="atLeast"/>
          <w:tblCellSpacing w:w="0" w:type="dxa"/>
          <w:jc w:val="center"/>
        </w:trPr>
        <w:tc>
          <w:tcPr>
            <w:tcW w:w="480" w:type="dxa"/>
            <w:shd w:val="clear" w:color="auto" w:fill="F3F3F3"/>
            <w:noWrap w:val="0"/>
            <w:vAlign w:val="center"/>
          </w:tcPr>
          <w:p>
            <w:pPr>
              <w:spacing w:line="360" w:lineRule="auto"/>
              <w:jc w:val="center"/>
              <w:rPr>
                <w:rFonts w:ascii="宋体" w:hAnsi="宋体"/>
                <w:szCs w:val="21"/>
              </w:rPr>
            </w:pPr>
            <w:r>
              <w:rPr>
                <w:rFonts w:ascii="宋体" w:hAnsi="宋体"/>
                <w:szCs w:val="21"/>
              </w:rPr>
              <w:t>序号</w:t>
            </w:r>
          </w:p>
        </w:tc>
        <w:tc>
          <w:tcPr>
            <w:tcW w:w="1060" w:type="dxa"/>
            <w:shd w:val="clear" w:color="auto" w:fill="F3F3F3"/>
            <w:noWrap w:val="0"/>
            <w:vAlign w:val="center"/>
          </w:tcPr>
          <w:p>
            <w:pPr>
              <w:spacing w:line="360" w:lineRule="auto"/>
              <w:jc w:val="center"/>
              <w:rPr>
                <w:rFonts w:ascii="宋体" w:hAnsi="宋体"/>
                <w:szCs w:val="21"/>
              </w:rPr>
            </w:pPr>
            <w:r>
              <w:rPr>
                <w:rFonts w:ascii="宋体" w:hAnsi="宋体"/>
                <w:szCs w:val="21"/>
              </w:rPr>
              <w:t>内    容</w:t>
            </w:r>
          </w:p>
        </w:tc>
        <w:tc>
          <w:tcPr>
            <w:tcW w:w="5444" w:type="dxa"/>
            <w:shd w:val="clear" w:color="auto" w:fill="F3F3F3"/>
            <w:noWrap w:val="0"/>
            <w:vAlign w:val="center"/>
          </w:tcPr>
          <w:p>
            <w:pPr>
              <w:spacing w:line="360" w:lineRule="auto"/>
              <w:jc w:val="center"/>
              <w:rPr>
                <w:rFonts w:ascii="宋体" w:hAnsi="宋体"/>
                <w:szCs w:val="21"/>
              </w:rPr>
            </w:pPr>
            <w:r>
              <w:rPr>
                <w:rFonts w:ascii="宋体" w:hAnsi="宋体"/>
                <w:szCs w:val="21"/>
              </w:rPr>
              <w:t>评分标准</w:t>
            </w:r>
          </w:p>
        </w:tc>
        <w:tc>
          <w:tcPr>
            <w:tcW w:w="1410" w:type="dxa"/>
            <w:shd w:val="clear" w:color="auto" w:fill="F3F3F3"/>
            <w:noWrap w:val="0"/>
            <w:vAlign w:val="center"/>
          </w:tcPr>
          <w:p>
            <w:pPr>
              <w:spacing w:line="360" w:lineRule="auto"/>
              <w:jc w:val="center"/>
              <w:rPr>
                <w:rFonts w:hint="eastAsia" w:ascii="宋体" w:hAnsi="宋体"/>
                <w:szCs w:val="21"/>
              </w:rPr>
            </w:pPr>
            <w:r>
              <w:rPr>
                <w:rFonts w:hint="eastAsia" w:ascii="宋体" w:hAnsi="宋体"/>
                <w:szCs w:val="21"/>
              </w:rPr>
              <w:t>磋商</w:t>
            </w:r>
          </w:p>
          <w:p>
            <w:pPr>
              <w:spacing w:line="360" w:lineRule="auto"/>
              <w:jc w:val="center"/>
              <w:rPr>
                <w:rFonts w:ascii="宋体" w:hAnsi="宋体"/>
                <w:szCs w:val="21"/>
              </w:rPr>
            </w:pPr>
            <w:r>
              <w:rPr>
                <w:rFonts w:hint="eastAsia" w:ascii="宋体" w:hAnsi="宋体"/>
                <w:szCs w:val="21"/>
              </w:rPr>
              <w:t>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1709" w:hRule="atLeast"/>
          <w:tblCellSpacing w:w="0" w:type="dxa"/>
          <w:jc w:val="center"/>
        </w:trPr>
        <w:tc>
          <w:tcPr>
            <w:tcW w:w="480" w:type="dxa"/>
            <w:noWrap w:val="0"/>
            <w:vAlign w:val="center"/>
          </w:tcPr>
          <w:p>
            <w:pPr>
              <w:spacing w:line="360" w:lineRule="auto"/>
              <w:jc w:val="center"/>
              <w:rPr>
                <w:rFonts w:ascii="宋体" w:hAnsi="宋体"/>
                <w:szCs w:val="21"/>
              </w:rPr>
            </w:pPr>
            <w:r>
              <w:rPr>
                <w:rFonts w:ascii="宋体" w:hAnsi="宋体"/>
                <w:szCs w:val="21"/>
              </w:rPr>
              <w:t>1</w:t>
            </w:r>
          </w:p>
        </w:tc>
        <w:tc>
          <w:tcPr>
            <w:tcW w:w="1060" w:type="dxa"/>
            <w:noWrap w:val="0"/>
            <w:vAlign w:val="center"/>
          </w:tcPr>
          <w:p>
            <w:pPr>
              <w:spacing w:line="360" w:lineRule="auto"/>
              <w:jc w:val="center"/>
              <w:rPr>
                <w:rFonts w:ascii="宋体" w:hAnsi="宋体"/>
                <w:szCs w:val="21"/>
              </w:rPr>
            </w:pPr>
            <w:r>
              <w:rPr>
                <w:rFonts w:ascii="宋体" w:hAnsi="宋体"/>
                <w:szCs w:val="21"/>
              </w:rPr>
              <w:t>……</w:t>
            </w:r>
          </w:p>
        </w:tc>
        <w:tc>
          <w:tcPr>
            <w:tcW w:w="5444" w:type="dxa"/>
            <w:noWrap w:val="0"/>
            <w:vAlign w:val="center"/>
          </w:tcPr>
          <w:p>
            <w:pPr>
              <w:spacing w:line="360" w:lineRule="auto"/>
              <w:ind w:left="405"/>
              <w:rPr>
                <w:rFonts w:ascii="宋体" w:hAnsi="宋体"/>
                <w:szCs w:val="21"/>
              </w:rPr>
            </w:pPr>
            <w:r>
              <w:rPr>
                <w:rFonts w:ascii="宋体" w:hAnsi="宋体"/>
                <w:szCs w:val="21"/>
              </w:rPr>
              <w:t>……</w:t>
            </w:r>
          </w:p>
        </w:tc>
        <w:tc>
          <w:tcPr>
            <w:tcW w:w="1410" w:type="dxa"/>
            <w:noWrap w:val="0"/>
            <w:vAlign w:val="center"/>
          </w:tcPr>
          <w:p>
            <w:pPr>
              <w:spacing w:line="360" w:lineRule="auto"/>
              <w:jc w:val="center"/>
              <w:rPr>
                <w:rFonts w:ascii="宋体" w:hAnsi="宋体"/>
                <w:szCs w:val="21"/>
              </w:rPr>
            </w:pPr>
            <w:r>
              <w:rPr>
                <w:rFonts w:hint="eastAsia" w:ascii="宋体" w:hAnsi="宋体"/>
                <w:szCs w:val="21"/>
              </w:rPr>
              <w:t>见磋商应答文件第（）页</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1709" w:hRule="atLeast"/>
          <w:tblCellSpacing w:w="0" w:type="dxa"/>
          <w:jc w:val="center"/>
        </w:trPr>
        <w:tc>
          <w:tcPr>
            <w:tcW w:w="480"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1060" w:type="dxa"/>
            <w:noWrap w:val="0"/>
            <w:vAlign w:val="center"/>
          </w:tcPr>
          <w:p>
            <w:pPr>
              <w:spacing w:line="360" w:lineRule="auto"/>
              <w:jc w:val="center"/>
              <w:rPr>
                <w:rFonts w:ascii="宋体" w:hAnsi="宋体"/>
                <w:szCs w:val="21"/>
              </w:rPr>
            </w:pPr>
            <w:r>
              <w:rPr>
                <w:rFonts w:ascii="宋体" w:hAnsi="宋体"/>
                <w:szCs w:val="21"/>
              </w:rPr>
              <w:t>……</w:t>
            </w:r>
          </w:p>
        </w:tc>
        <w:tc>
          <w:tcPr>
            <w:tcW w:w="5444" w:type="dxa"/>
            <w:noWrap w:val="0"/>
            <w:vAlign w:val="center"/>
          </w:tcPr>
          <w:p>
            <w:pPr>
              <w:spacing w:line="360" w:lineRule="auto"/>
              <w:ind w:left="405"/>
              <w:rPr>
                <w:rFonts w:ascii="宋体" w:hAnsi="宋体"/>
                <w:szCs w:val="21"/>
              </w:rPr>
            </w:pPr>
            <w:r>
              <w:rPr>
                <w:rFonts w:ascii="宋体" w:hAnsi="宋体"/>
                <w:szCs w:val="21"/>
              </w:rPr>
              <w:t>……</w:t>
            </w:r>
          </w:p>
        </w:tc>
        <w:tc>
          <w:tcPr>
            <w:tcW w:w="1410" w:type="dxa"/>
            <w:noWrap w:val="0"/>
            <w:vAlign w:val="center"/>
          </w:tcPr>
          <w:p>
            <w:pPr>
              <w:spacing w:line="360" w:lineRule="auto"/>
              <w:jc w:val="center"/>
              <w:rPr>
                <w:rFonts w:hint="eastAsia" w:ascii="宋体" w:hAnsi="宋体"/>
                <w:szCs w:val="21"/>
              </w:rPr>
            </w:pPr>
            <w:r>
              <w:rPr>
                <w:rFonts w:hint="eastAsia" w:ascii="宋体" w:hAnsi="宋体"/>
                <w:szCs w:val="21"/>
              </w:rPr>
              <w:t>见磋商应答文件第（）页</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1709" w:hRule="atLeast"/>
          <w:tblCellSpacing w:w="0" w:type="dxa"/>
          <w:jc w:val="center"/>
        </w:trPr>
        <w:tc>
          <w:tcPr>
            <w:tcW w:w="480" w:type="dxa"/>
            <w:noWrap w:val="0"/>
            <w:vAlign w:val="center"/>
          </w:tcPr>
          <w:p>
            <w:pPr>
              <w:spacing w:line="360" w:lineRule="auto"/>
              <w:jc w:val="center"/>
              <w:rPr>
                <w:rFonts w:hint="eastAsia" w:ascii="宋体" w:hAnsi="宋体"/>
                <w:szCs w:val="21"/>
              </w:rPr>
            </w:pPr>
            <w:r>
              <w:rPr>
                <w:rFonts w:hint="eastAsia" w:ascii="宋体" w:hAnsi="宋体"/>
                <w:szCs w:val="21"/>
              </w:rPr>
              <w:t>3</w:t>
            </w:r>
          </w:p>
        </w:tc>
        <w:tc>
          <w:tcPr>
            <w:tcW w:w="1060" w:type="dxa"/>
            <w:noWrap w:val="0"/>
            <w:vAlign w:val="center"/>
          </w:tcPr>
          <w:p>
            <w:pPr>
              <w:spacing w:line="360" w:lineRule="auto"/>
              <w:jc w:val="center"/>
              <w:rPr>
                <w:rFonts w:ascii="宋体" w:hAnsi="宋体"/>
                <w:szCs w:val="21"/>
              </w:rPr>
            </w:pPr>
            <w:r>
              <w:rPr>
                <w:rFonts w:ascii="宋体" w:hAnsi="宋体"/>
                <w:szCs w:val="21"/>
              </w:rPr>
              <w:t>……</w:t>
            </w:r>
          </w:p>
        </w:tc>
        <w:tc>
          <w:tcPr>
            <w:tcW w:w="5444" w:type="dxa"/>
            <w:noWrap w:val="0"/>
            <w:vAlign w:val="center"/>
          </w:tcPr>
          <w:p>
            <w:pPr>
              <w:spacing w:line="360" w:lineRule="auto"/>
              <w:ind w:left="405"/>
              <w:rPr>
                <w:rFonts w:ascii="宋体" w:hAnsi="宋体"/>
                <w:szCs w:val="21"/>
              </w:rPr>
            </w:pPr>
            <w:r>
              <w:rPr>
                <w:rFonts w:ascii="宋体" w:hAnsi="宋体"/>
                <w:szCs w:val="21"/>
              </w:rPr>
              <w:t>……</w:t>
            </w:r>
          </w:p>
        </w:tc>
        <w:tc>
          <w:tcPr>
            <w:tcW w:w="1410" w:type="dxa"/>
            <w:noWrap w:val="0"/>
            <w:vAlign w:val="center"/>
          </w:tcPr>
          <w:p>
            <w:pPr>
              <w:spacing w:line="360" w:lineRule="auto"/>
              <w:jc w:val="center"/>
              <w:rPr>
                <w:rFonts w:hint="eastAsia" w:ascii="宋体" w:hAnsi="宋体"/>
                <w:szCs w:val="21"/>
              </w:rPr>
            </w:pPr>
            <w:r>
              <w:rPr>
                <w:rFonts w:hint="eastAsia" w:ascii="宋体" w:hAnsi="宋体"/>
                <w:szCs w:val="21"/>
              </w:rPr>
              <w:t>见磋商应答文件第（）页</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wBefore w:w="0" w:type="dxa"/>
          <w:wAfter w:w="0" w:type="dxa"/>
          <w:trHeight w:val="1709" w:hRule="atLeast"/>
          <w:tblCellSpacing w:w="0" w:type="dxa"/>
          <w:jc w:val="center"/>
        </w:trPr>
        <w:tc>
          <w:tcPr>
            <w:tcW w:w="480" w:type="dxa"/>
            <w:noWrap w:val="0"/>
            <w:vAlign w:val="center"/>
          </w:tcPr>
          <w:p>
            <w:pPr>
              <w:spacing w:line="360" w:lineRule="auto"/>
              <w:jc w:val="center"/>
              <w:rPr>
                <w:rFonts w:hint="eastAsia" w:ascii="宋体" w:hAnsi="宋体"/>
                <w:szCs w:val="21"/>
              </w:rPr>
            </w:pPr>
            <w:r>
              <w:rPr>
                <w:rFonts w:ascii="宋体" w:hAnsi="宋体"/>
                <w:szCs w:val="21"/>
              </w:rPr>
              <w:t>……</w:t>
            </w:r>
          </w:p>
        </w:tc>
        <w:tc>
          <w:tcPr>
            <w:tcW w:w="1060" w:type="dxa"/>
            <w:noWrap w:val="0"/>
            <w:vAlign w:val="center"/>
          </w:tcPr>
          <w:p>
            <w:pPr>
              <w:spacing w:line="360" w:lineRule="auto"/>
              <w:jc w:val="center"/>
              <w:rPr>
                <w:rFonts w:hint="eastAsia" w:ascii="宋体" w:hAnsi="宋体"/>
                <w:szCs w:val="21"/>
              </w:rPr>
            </w:pPr>
          </w:p>
        </w:tc>
        <w:tc>
          <w:tcPr>
            <w:tcW w:w="5444" w:type="dxa"/>
            <w:noWrap w:val="0"/>
            <w:vAlign w:val="center"/>
          </w:tcPr>
          <w:p>
            <w:pPr>
              <w:spacing w:line="360" w:lineRule="auto"/>
              <w:ind w:left="405"/>
              <w:rPr>
                <w:rFonts w:hint="eastAsia" w:ascii="宋体" w:hAnsi="宋体"/>
                <w:szCs w:val="21"/>
              </w:rPr>
            </w:pPr>
            <w:r>
              <w:rPr>
                <w:rFonts w:ascii="宋体" w:hAnsi="宋体"/>
                <w:szCs w:val="21"/>
              </w:rPr>
              <w:t>……</w:t>
            </w:r>
          </w:p>
        </w:tc>
        <w:tc>
          <w:tcPr>
            <w:tcW w:w="1410" w:type="dxa"/>
            <w:noWrap w:val="0"/>
            <w:vAlign w:val="center"/>
          </w:tcPr>
          <w:p>
            <w:pPr>
              <w:spacing w:line="360" w:lineRule="auto"/>
              <w:jc w:val="center"/>
              <w:rPr>
                <w:rFonts w:hint="eastAsia" w:ascii="宋体" w:hAnsi="宋体"/>
                <w:szCs w:val="21"/>
              </w:rPr>
            </w:pPr>
            <w:r>
              <w:rPr>
                <w:rFonts w:hint="eastAsia" w:ascii="宋体" w:hAnsi="宋体"/>
                <w:szCs w:val="21"/>
              </w:rPr>
              <w:t>见磋商应答文件第（）页</w:t>
            </w:r>
          </w:p>
        </w:tc>
      </w:tr>
    </w:tbl>
    <w:p>
      <w:pPr>
        <w:spacing w:line="240" w:lineRule="exact"/>
        <w:ind w:left="405"/>
        <w:rPr>
          <w:rFonts w:hint="eastAsia"/>
        </w:rPr>
      </w:pPr>
    </w:p>
    <w:p>
      <w:pPr>
        <w:spacing w:line="360" w:lineRule="auto"/>
        <w:rPr>
          <w:rFonts w:hint="eastAsia"/>
          <w:b/>
          <w:szCs w:val="21"/>
        </w:rPr>
      </w:pPr>
      <w:r>
        <w:rPr>
          <w:rFonts w:hint="eastAsia"/>
          <w:b/>
          <w:szCs w:val="21"/>
        </w:rPr>
        <w:t>注</w:t>
      </w:r>
      <w:r>
        <w:rPr>
          <w:b/>
          <w:szCs w:val="21"/>
        </w:rPr>
        <w:t>：此表</w:t>
      </w:r>
      <w:r>
        <w:rPr>
          <w:rFonts w:hint="eastAsia"/>
          <w:b/>
          <w:szCs w:val="21"/>
        </w:rPr>
        <w:t>格式及内容应按照《竞争性磋商文件》第三章</w:t>
      </w:r>
      <w:r>
        <w:rPr>
          <w:b/>
          <w:szCs w:val="21"/>
        </w:rPr>
        <w:t xml:space="preserve"> </w:t>
      </w:r>
      <w:r>
        <w:rPr>
          <w:rFonts w:hint="eastAsia"/>
          <w:b/>
          <w:szCs w:val="21"/>
        </w:rPr>
        <w:t>评审办法 二、评标表格中 表3：《技术评议指标表》中调整及填写。须逐条填写所有评分项。</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szCs w:val="21"/>
          <w:u w:val="single"/>
        </w:rPr>
      </w:pPr>
      <w:r>
        <w:rPr>
          <w:rFonts w:hint="eastAsia" w:ascii="宋体" w:hAnsi="宋体"/>
          <w:szCs w:val="21"/>
        </w:rPr>
        <w:t>供应商代表（签字）:</w:t>
      </w:r>
      <w:r>
        <w:rPr>
          <w:rFonts w:hint="eastAsia" w:ascii="宋体" w:hAnsi="宋体"/>
          <w:szCs w:val="21"/>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szCs w:val="21"/>
          <w:u w:val="single"/>
        </w:rPr>
      </w:pPr>
      <w:r>
        <w:rPr>
          <w:rFonts w:hint="eastAsia" w:ascii="宋体" w:hAnsi="宋体"/>
          <w:szCs w:val="21"/>
        </w:rPr>
        <w:t>单位盖章（公章）：</w:t>
      </w:r>
      <w:r>
        <w:rPr>
          <w:rFonts w:hint="eastAsia" w:ascii="宋体" w:hAnsi="宋体"/>
          <w:szCs w:val="21"/>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olor w:val="FF0000"/>
          <w:szCs w:val="21"/>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olor w:val="FF0000"/>
          <w:szCs w:val="21"/>
          <w:u w:val="single"/>
        </w:rPr>
      </w:pPr>
    </w:p>
    <w:bookmarkEnd w:id="44"/>
    <w:p>
      <w:pPr>
        <w:pStyle w:val="4"/>
        <w:snapToGrid w:val="0"/>
        <w:spacing w:before="0" w:after="0" w:line="360" w:lineRule="auto"/>
        <w:jc w:val="center"/>
        <w:rPr>
          <w:rFonts w:hint="eastAsia" w:ascii="黑体" w:hAnsi="黑体" w:eastAsia="黑体"/>
        </w:rPr>
      </w:pPr>
      <w:bookmarkStart w:id="52" w:name="_Toc161306884"/>
      <w:r>
        <w:rPr>
          <w:rFonts w:hint="eastAsia" w:ascii="黑体" w:hAnsi="黑体" w:eastAsia="黑体"/>
        </w:rPr>
        <w:t>2、磋商应答函</w:t>
      </w:r>
      <w:bookmarkEnd w:id="52"/>
    </w:p>
    <w:p>
      <w:pPr>
        <w:spacing w:line="380" w:lineRule="exact"/>
        <w:rPr>
          <w:rFonts w:hint="eastAsia"/>
          <w:u w:val="single"/>
        </w:rPr>
      </w:pPr>
      <w:r>
        <w:rPr>
          <w:rFonts w:hint="eastAsia"/>
        </w:rPr>
        <w:t>致：</w:t>
      </w:r>
      <w:r>
        <w:rPr>
          <w:rFonts w:hint="eastAsia"/>
          <w:u w:val="single"/>
        </w:rPr>
        <w:t>深圳市东方招标有限公司</w:t>
      </w:r>
    </w:p>
    <w:p>
      <w:pPr>
        <w:spacing w:line="400" w:lineRule="exact"/>
        <w:ind w:firstLine="561"/>
        <w:rPr>
          <w:rFonts w:hint="eastAsia"/>
        </w:rPr>
      </w:pPr>
      <w:r>
        <w:rPr>
          <w:rFonts w:hint="eastAsia"/>
        </w:rPr>
        <w:t>根据贵司为</w:t>
      </w:r>
      <w:r>
        <w:rPr>
          <w:rFonts w:hint="eastAsia"/>
          <w:u w:val="single"/>
        </w:rPr>
        <w:t xml:space="preserve">      （项目名称）    </w:t>
      </w:r>
      <w:r>
        <w:rPr>
          <w:rFonts w:hint="eastAsia"/>
        </w:rPr>
        <w:t>采购服务的竞争性磋商邀请</w:t>
      </w:r>
      <w:r>
        <w:rPr>
          <w:rFonts w:hint="eastAsia"/>
          <w:u w:val="single"/>
        </w:rPr>
        <w:t xml:space="preserve">        （项目编号）    </w:t>
      </w:r>
      <w:r>
        <w:rPr>
          <w:rFonts w:hint="eastAsia"/>
        </w:rPr>
        <w:t>，签字代表</w:t>
      </w:r>
      <w:r>
        <w:rPr>
          <w:rFonts w:hint="eastAsia"/>
          <w:u w:val="single"/>
        </w:rPr>
        <w:t xml:space="preserve">      （姓名）  </w:t>
      </w:r>
      <w:r>
        <w:rPr>
          <w:rFonts w:hint="eastAsia"/>
        </w:rPr>
        <w:t>经正式授权并代表供应商</w:t>
      </w:r>
      <w:r>
        <w:rPr>
          <w:rFonts w:hint="eastAsia"/>
          <w:u w:val="single"/>
        </w:rPr>
        <w:t xml:space="preserve">    供应商名称）  </w:t>
      </w:r>
      <w:r>
        <w:rPr>
          <w:rFonts w:hint="eastAsia"/>
        </w:rPr>
        <w:t>提交下述文件</w:t>
      </w:r>
      <w:r>
        <w:t>正本</w:t>
      </w:r>
      <w:r>
        <w:rPr>
          <w:u w:val="single"/>
        </w:rPr>
        <w:t xml:space="preserve"> </w:t>
      </w:r>
      <w:r>
        <w:rPr>
          <w:rFonts w:hint="eastAsia"/>
          <w:u w:val="single"/>
        </w:rPr>
        <w:t>1</w:t>
      </w:r>
      <w:r>
        <w:rPr>
          <w:u w:val="single"/>
        </w:rPr>
        <w:t xml:space="preserve"> </w:t>
      </w:r>
      <w:r>
        <w:t>份、副本</w:t>
      </w:r>
      <w:r>
        <w:rPr>
          <w:rFonts w:hint="eastAsia"/>
          <w:u w:val="single"/>
        </w:rPr>
        <w:t>5</w:t>
      </w:r>
      <w:r>
        <w:t>份</w:t>
      </w:r>
      <w:r>
        <w:rPr>
          <w:rFonts w:hAnsi="宋体"/>
        </w:rPr>
        <w:t>；</w:t>
      </w:r>
      <w:r>
        <w:rPr>
          <w:b/>
        </w:rPr>
        <w:t>U</w:t>
      </w:r>
      <w:r>
        <w:rPr>
          <w:rFonts w:hAnsi="宋体"/>
          <w:b/>
        </w:rPr>
        <w:t>盘</w:t>
      </w:r>
      <w:r>
        <w:rPr>
          <w:u w:val="single"/>
        </w:rPr>
        <w:t>1</w:t>
      </w:r>
      <w:r>
        <w:rPr>
          <w:rFonts w:hAnsi="宋体"/>
        </w:rPr>
        <w:t>个</w:t>
      </w:r>
      <w:r>
        <w:rPr>
          <w:rFonts w:hAnsi="宋体"/>
          <w:szCs w:val="21"/>
        </w:rPr>
        <w:t>（内含</w:t>
      </w:r>
      <w:r>
        <w:rPr>
          <w:szCs w:val="21"/>
          <w:u w:val="single"/>
        </w:rPr>
        <w:t>Word</w:t>
      </w:r>
      <w:r>
        <w:rPr>
          <w:rFonts w:hAnsi="宋体"/>
          <w:szCs w:val="21"/>
          <w:u w:val="single"/>
        </w:rPr>
        <w:t>版本</w:t>
      </w:r>
      <w:r>
        <w:rPr>
          <w:rFonts w:hAnsi="宋体"/>
          <w:szCs w:val="21"/>
        </w:rPr>
        <w:t>和</w:t>
      </w:r>
      <w:r>
        <w:rPr>
          <w:rFonts w:hAnsi="宋体"/>
          <w:szCs w:val="21"/>
          <w:u w:val="single"/>
        </w:rPr>
        <w:t>加盖公章的</w:t>
      </w:r>
      <w:r>
        <w:rPr>
          <w:szCs w:val="21"/>
          <w:u w:val="single"/>
        </w:rPr>
        <w:t>PDF</w:t>
      </w:r>
      <w:r>
        <w:rPr>
          <w:rFonts w:hAnsi="宋体"/>
          <w:szCs w:val="21"/>
          <w:u w:val="single"/>
        </w:rPr>
        <w:t>版本</w:t>
      </w:r>
      <w:r>
        <w:rPr>
          <w:rFonts w:hint="eastAsia" w:hAnsi="宋体"/>
          <w:szCs w:val="21"/>
        </w:rPr>
        <w:t>的</w:t>
      </w:r>
      <w:r>
        <w:rPr>
          <w:rFonts w:hAnsi="宋体"/>
          <w:szCs w:val="21"/>
        </w:rPr>
        <w:t>投标文件</w:t>
      </w:r>
      <w:r>
        <w:rPr>
          <w:rFonts w:hint="eastAsia"/>
        </w:rPr>
        <w:t>）：</w:t>
      </w:r>
    </w:p>
    <w:p>
      <w:pPr>
        <w:numPr>
          <w:ilvl w:val="0"/>
          <w:numId w:val="6"/>
        </w:numPr>
        <w:spacing w:line="400" w:lineRule="exact"/>
        <w:ind w:left="1157"/>
        <w:rPr>
          <w:rFonts w:hint="eastAsia"/>
        </w:rPr>
      </w:pPr>
      <w:r>
        <w:rPr>
          <w:rFonts w:hint="eastAsia"/>
        </w:rPr>
        <w:t>综合评分指引表；</w:t>
      </w:r>
    </w:p>
    <w:p>
      <w:pPr>
        <w:numPr>
          <w:ilvl w:val="0"/>
          <w:numId w:val="6"/>
        </w:numPr>
        <w:spacing w:line="400" w:lineRule="exact"/>
        <w:ind w:left="1157"/>
        <w:rPr>
          <w:rFonts w:hint="eastAsia"/>
        </w:rPr>
      </w:pPr>
      <w:r>
        <w:rPr>
          <w:rFonts w:hint="eastAsia"/>
        </w:rPr>
        <w:t>磋商应答函；</w:t>
      </w:r>
    </w:p>
    <w:p>
      <w:pPr>
        <w:numPr>
          <w:ilvl w:val="0"/>
          <w:numId w:val="6"/>
        </w:numPr>
        <w:spacing w:line="400" w:lineRule="exact"/>
        <w:ind w:left="1157"/>
        <w:rPr>
          <w:rFonts w:hint="eastAsia"/>
        </w:rPr>
      </w:pPr>
      <w:r>
        <w:rPr>
          <w:rFonts w:hint="eastAsia"/>
        </w:rPr>
        <w:t>报价一览表；</w:t>
      </w:r>
    </w:p>
    <w:p>
      <w:pPr>
        <w:numPr>
          <w:ilvl w:val="0"/>
          <w:numId w:val="6"/>
        </w:numPr>
        <w:spacing w:line="400" w:lineRule="exact"/>
        <w:ind w:left="1157"/>
        <w:rPr>
          <w:rFonts w:hint="eastAsia"/>
        </w:rPr>
      </w:pPr>
      <w:r>
        <w:rPr>
          <w:rFonts w:hint="eastAsia"/>
        </w:rPr>
        <w:t>分项报价表；</w:t>
      </w:r>
    </w:p>
    <w:p>
      <w:pPr>
        <w:numPr>
          <w:ilvl w:val="0"/>
          <w:numId w:val="6"/>
        </w:numPr>
        <w:spacing w:line="400" w:lineRule="exact"/>
        <w:ind w:left="1157"/>
        <w:rPr>
          <w:rFonts w:hint="eastAsia"/>
        </w:rPr>
      </w:pPr>
      <w:r>
        <w:rPr>
          <w:rFonts w:hint="eastAsia"/>
        </w:rPr>
        <w:t>商务条款对照说明表；</w:t>
      </w:r>
    </w:p>
    <w:p>
      <w:pPr>
        <w:numPr>
          <w:ilvl w:val="0"/>
          <w:numId w:val="6"/>
        </w:numPr>
        <w:spacing w:line="400" w:lineRule="exact"/>
        <w:ind w:left="1157"/>
        <w:rPr>
          <w:rFonts w:hint="eastAsia"/>
        </w:rPr>
      </w:pPr>
      <w:r>
        <w:rPr>
          <w:rFonts w:hint="eastAsia"/>
        </w:rPr>
        <w:t>技术条款对照说明表；</w:t>
      </w:r>
    </w:p>
    <w:p>
      <w:pPr>
        <w:numPr>
          <w:ilvl w:val="0"/>
          <w:numId w:val="6"/>
        </w:numPr>
        <w:spacing w:line="400" w:lineRule="exact"/>
        <w:ind w:left="1157"/>
        <w:rPr>
          <w:rFonts w:hint="eastAsia"/>
        </w:rPr>
      </w:pPr>
      <w:r>
        <w:rPr>
          <w:rFonts w:hint="eastAsia"/>
        </w:rPr>
        <w:t>资格证明文件；</w:t>
      </w:r>
    </w:p>
    <w:p>
      <w:pPr>
        <w:numPr>
          <w:ilvl w:val="0"/>
          <w:numId w:val="6"/>
        </w:numPr>
        <w:spacing w:line="400" w:lineRule="exact"/>
        <w:ind w:left="1157"/>
        <w:rPr>
          <w:rFonts w:hint="eastAsia"/>
        </w:rPr>
      </w:pPr>
      <w:r>
        <w:rPr>
          <w:rFonts w:hint="eastAsia"/>
        </w:rPr>
        <w:t>承诺函；</w:t>
      </w:r>
    </w:p>
    <w:p>
      <w:pPr>
        <w:numPr>
          <w:ilvl w:val="0"/>
          <w:numId w:val="6"/>
        </w:numPr>
        <w:spacing w:line="400" w:lineRule="exact"/>
        <w:ind w:left="1157"/>
        <w:rPr>
          <w:rFonts w:hint="eastAsia"/>
        </w:rPr>
      </w:pPr>
      <w:r>
        <w:rPr>
          <w:rFonts w:hint="eastAsia"/>
        </w:rPr>
        <w:t>支付成交服务费承诺函；</w:t>
      </w:r>
    </w:p>
    <w:p>
      <w:pPr>
        <w:numPr>
          <w:ilvl w:val="0"/>
          <w:numId w:val="6"/>
        </w:numPr>
        <w:spacing w:line="400" w:lineRule="exact"/>
        <w:ind w:left="1157"/>
        <w:rPr>
          <w:rFonts w:hint="eastAsia"/>
        </w:rPr>
      </w:pPr>
      <w:r>
        <w:rPr>
          <w:rFonts w:hint="eastAsia"/>
        </w:rPr>
        <w:t>评标优惠政策声明函</w:t>
      </w:r>
    </w:p>
    <w:p>
      <w:pPr>
        <w:numPr>
          <w:ilvl w:val="0"/>
          <w:numId w:val="6"/>
        </w:numPr>
        <w:spacing w:line="400" w:lineRule="exact"/>
        <w:ind w:left="1157"/>
        <w:rPr>
          <w:szCs w:val="21"/>
        </w:rPr>
      </w:pPr>
      <w:r>
        <w:rPr>
          <w:rFonts w:hint="eastAsia"/>
          <w:szCs w:val="21"/>
        </w:rPr>
        <w:t>按《竞争性磋商文件》的要求，提供的其他有关文件。</w:t>
      </w:r>
    </w:p>
    <w:p>
      <w:pPr>
        <w:spacing w:line="380" w:lineRule="exact"/>
        <w:ind w:firstLine="420" w:firstLineChars="200"/>
        <w:rPr>
          <w:rFonts w:hint="eastAsia"/>
        </w:rPr>
      </w:pPr>
      <w:r>
        <w:rPr>
          <w:rFonts w:hint="eastAsia"/>
        </w:rPr>
        <w:t>据此函，签字代表宣布如下承诺：</w:t>
      </w:r>
    </w:p>
    <w:p>
      <w:pPr>
        <w:numPr>
          <w:ilvl w:val="0"/>
          <w:numId w:val="7"/>
        </w:numPr>
        <w:spacing w:line="380" w:lineRule="exact"/>
        <w:ind w:firstLine="567"/>
        <w:rPr>
          <w:rFonts w:hint="eastAsia"/>
        </w:rPr>
      </w:pPr>
      <w:r>
        <w:rPr>
          <w:rFonts w:hint="eastAsia"/>
        </w:rPr>
        <w:t>供应商将按竞争性磋商文件的规定履行合同责任和义务。</w:t>
      </w:r>
    </w:p>
    <w:p>
      <w:pPr>
        <w:numPr>
          <w:ilvl w:val="0"/>
          <w:numId w:val="7"/>
        </w:numPr>
        <w:spacing w:line="380" w:lineRule="exact"/>
        <w:ind w:firstLine="567"/>
        <w:rPr>
          <w:rFonts w:hint="eastAsia"/>
        </w:rPr>
      </w:pPr>
      <w:r>
        <w:rPr>
          <w:rFonts w:hint="eastAsia"/>
        </w:rPr>
        <w:t>供应商已详细审查全部竞争性磋商文件，包括第（编号、补遗书）（如果有的话）。我们完全理解并同意放弃对这方面有不明及误解的权力。</w:t>
      </w:r>
    </w:p>
    <w:p>
      <w:pPr>
        <w:numPr>
          <w:ilvl w:val="0"/>
          <w:numId w:val="7"/>
        </w:numPr>
        <w:spacing w:line="380" w:lineRule="exact"/>
        <w:ind w:firstLine="567"/>
        <w:rPr>
          <w:rFonts w:hint="eastAsia"/>
        </w:rPr>
      </w:pPr>
      <w:r>
        <w:rPr>
          <w:rFonts w:hint="eastAsia"/>
        </w:rPr>
        <w:t>本报价有效期为递交磋商应答文件截止之日起</w:t>
      </w:r>
      <w:r>
        <w:rPr>
          <w:rFonts w:hint="eastAsia"/>
          <w:u w:val="single"/>
        </w:rPr>
        <w:t>九十</w:t>
      </w:r>
      <w:r>
        <w:rPr>
          <w:rFonts w:hint="eastAsia"/>
        </w:rPr>
        <w:t>个日历日。</w:t>
      </w:r>
    </w:p>
    <w:p>
      <w:pPr>
        <w:numPr>
          <w:ilvl w:val="0"/>
          <w:numId w:val="7"/>
        </w:numPr>
        <w:spacing w:line="380" w:lineRule="exact"/>
        <w:ind w:firstLine="567"/>
        <w:rPr>
          <w:rFonts w:hint="eastAsia"/>
        </w:rPr>
      </w:pPr>
      <w:r>
        <w:rPr>
          <w:rFonts w:hint="eastAsia"/>
        </w:rPr>
        <w:t>如果在规定的递交磋商应答文件截止时间后，供应商在有效期内撤回报价，将接受有关部门的处罚。</w:t>
      </w:r>
    </w:p>
    <w:p>
      <w:pPr>
        <w:numPr>
          <w:ilvl w:val="0"/>
          <w:numId w:val="7"/>
        </w:numPr>
        <w:spacing w:line="380" w:lineRule="exact"/>
        <w:ind w:firstLine="567"/>
        <w:rPr>
          <w:rFonts w:hint="eastAsia"/>
        </w:rPr>
      </w:pPr>
      <w:r>
        <w:rPr>
          <w:rFonts w:hint="eastAsia"/>
        </w:rPr>
        <w:t>供应商同意按照贵方可能提出的要求而提供与报价有关的一切数据或资料。</w:t>
      </w:r>
    </w:p>
    <w:p>
      <w:pPr>
        <w:numPr>
          <w:ilvl w:val="0"/>
          <w:numId w:val="7"/>
        </w:numPr>
        <w:spacing w:line="380" w:lineRule="exact"/>
        <w:ind w:firstLine="567"/>
        <w:rPr>
          <w:rFonts w:hint="eastAsia"/>
        </w:rPr>
      </w:pPr>
      <w:r>
        <w:rPr>
          <w:rFonts w:hint="eastAsia"/>
        </w:rPr>
        <w:t>与本报价有关的一切正式往来信函请寄：</w:t>
      </w:r>
    </w:p>
    <w:p>
      <w:pPr>
        <w:spacing w:line="380" w:lineRule="exact"/>
        <w:rPr>
          <w:rFonts w:hint="eastAsia"/>
        </w:rPr>
      </w:pPr>
    </w:p>
    <w:tbl>
      <w:tblPr>
        <w:tblStyle w:val="26"/>
        <w:tblW w:w="0" w:type="auto"/>
        <w:jc w:val="center"/>
        <w:tblLayout w:type="autofit"/>
        <w:tblCellMar>
          <w:top w:w="0" w:type="dxa"/>
          <w:left w:w="108" w:type="dxa"/>
          <w:bottom w:w="0" w:type="dxa"/>
          <w:right w:w="108" w:type="dxa"/>
        </w:tblCellMar>
      </w:tblPr>
      <w:tblGrid>
        <w:gridCol w:w="2144"/>
        <w:gridCol w:w="2144"/>
        <w:gridCol w:w="1380"/>
        <w:gridCol w:w="2908"/>
      </w:tblGrid>
      <w:tr>
        <w:tblPrEx>
          <w:tblCellMar>
            <w:top w:w="0" w:type="dxa"/>
            <w:left w:w="108" w:type="dxa"/>
            <w:bottom w:w="0" w:type="dxa"/>
            <w:right w:w="108" w:type="dxa"/>
          </w:tblCellMar>
        </w:tblPrEx>
        <w:trPr>
          <w:wBefore w:w="0" w:type="dxa"/>
          <w:wAfter w:w="0" w:type="dxa"/>
          <w:trHeight w:val="446" w:hRule="atLeast"/>
          <w:jc w:val="center"/>
        </w:trPr>
        <w:tc>
          <w:tcPr>
            <w:tcW w:w="2144" w:type="dxa"/>
            <w:noWrap w:val="0"/>
            <w:vAlign w:val="center"/>
          </w:tcPr>
          <w:p>
            <w:pPr>
              <w:widowControl/>
              <w:jc w:val="right"/>
              <w:rPr>
                <w:rFonts w:hAnsi="宋体"/>
                <w:kern w:val="0"/>
                <w:szCs w:val="21"/>
              </w:rPr>
            </w:pPr>
            <w:r>
              <w:rPr>
                <w:rFonts w:hint="eastAsia" w:hAnsi="宋体"/>
                <w:kern w:val="0"/>
                <w:szCs w:val="21"/>
              </w:rPr>
              <w:t>投标人名称（</w:t>
            </w:r>
            <w:r>
              <w:rPr>
                <w:rFonts w:hint="eastAsia" w:ascii="宋体" w:hAnsi="宋体"/>
                <w:b/>
                <w:szCs w:val="21"/>
              </w:rPr>
              <w:t>公章</w:t>
            </w:r>
            <w:r>
              <w:rPr>
                <w:rFonts w:hint="eastAsia" w:hAnsi="宋体"/>
                <w:kern w:val="0"/>
                <w:szCs w:val="21"/>
              </w:rPr>
              <w:t>）：</w:t>
            </w:r>
          </w:p>
        </w:tc>
        <w:tc>
          <w:tcPr>
            <w:tcW w:w="6432" w:type="dxa"/>
            <w:gridSpan w:val="3"/>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wBefore w:w="0" w:type="dxa"/>
          <w:wAfter w:w="0" w:type="dxa"/>
          <w:trHeight w:val="446" w:hRule="atLeast"/>
          <w:jc w:val="center"/>
        </w:trPr>
        <w:tc>
          <w:tcPr>
            <w:tcW w:w="2144" w:type="dxa"/>
            <w:noWrap w:val="0"/>
            <w:vAlign w:val="center"/>
          </w:tcPr>
          <w:p>
            <w:pPr>
              <w:widowControl/>
              <w:jc w:val="right"/>
              <w:rPr>
                <w:rFonts w:hAnsi="宋体"/>
                <w:kern w:val="0"/>
                <w:szCs w:val="21"/>
              </w:rPr>
            </w:pPr>
            <w:r>
              <w:rPr>
                <w:rFonts w:hint="eastAsia" w:hAnsi="宋体"/>
                <w:kern w:val="0"/>
                <w:szCs w:val="21"/>
              </w:rPr>
              <w:t>投标人地址：</w:t>
            </w:r>
          </w:p>
        </w:tc>
        <w:tc>
          <w:tcPr>
            <w:tcW w:w="6432" w:type="dxa"/>
            <w:gridSpan w:val="3"/>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wBefore w:w="0" w:type="dxa"/>
          <w:wAfter w:w="0" w:type="dxa"/>
          <w:trHeight w:val="589" w:hRule="atLeast"/>
          <w:jc w:val="center"/>
        </w:trPr>
        <w:tc>
          <w:tcPr>
            <w:tcW w:w="2144" w:type="dxa"/>
            <w:noWrap w:val="0"/>
            <w:vAlign w:val="center"/>
          </w:tcPr>
          <w:p>
            <w:pPr>
              <w:widowControl/>
              <w:jc w:val="right"/>
              <w:rPr>
                <w:rFonts w:hAnsi="宋体"/>
                <w:kern w:val="0"/>
                <w:szCs w:val="21"/>
              </w:rPr>
            </w:pPr>
            <w:r>
              <w:rPr>
                <w:rFonts w:hint="eastAsia" w:hAnsi="宋体"/>
                <w:kern w:val="0"/>
                <w:szCs w:val="21"/>
              </w:rPr>
              <w:t>投标人代表（</w:t>
            </w:r>
            <w:r>
              <w:rPr>
                <w:rFonts w:hint="eastAsia" w:ascii="宋体" w:hAnsi="宋体"/>
                <w:b/>
                <w:szCs w:val="21"/>
              </w:rPr>
              <w:t>签字</w:t>
            </w:r>
            <w:r>
              <w:rPr>
                <w:rFonts w:hint="eastAsia" w:hAnsi="宋体"/>
                <w:kern w:val="0"/>
                <w:szCs w:val="21"/>
              </w:rPr>
              <w:t>）：</w:t>
            </w:r>
          </w:p>
        </w:tc>
        <w:tc>
          <w:tcPr>
            <w:tcW w:w="2144" w:type="dxa"/>
            <w:noWrap w:val="0"/>
            <w:vAlign w:val="center"/>
          </w:tcPr>
          <w:p>
            <w:pPr>
              <w:widowControl/>
              <w:jc w:val="left"/>
              <w:rPr>
                <w:rFonts w:hAnsi="宋体"/>
                <w:kern w:val="0"/>
                <w:szCs w:val="21"/>
              </w:rPr>
            </w:pPr>
          </w:p>
        </w:tc>
        <w:tc>
          <w:tcPr>
            <w:tcW w:w="1380" w:type="dxa"/>
            <w:noWrap w:val="0"/>
            <w:vAlign w:val="center"/>
          </w:tcPr>
          <w:p>
            <w:pPr>
              <w:widowControl/>
              <w:jc w:val="right"/>
              <w:rPr>
                <w:rFonts w:hAnsi="宋体"/>
                <w:kern w:val="0"/>
                <w:szCs w:val="21"/>
              </w:rPr>
            </w:pPr>
            <w:r>
              <w:rPr>
                <w:rFonts w:hint="eastAsia" w:hAnsi="宋体"/>
                <w:kern w:val="0"/>
                <w:szCs w:val="21"/>
              </w:rPr>
              <w:t>部门及职务：</w:t>
            </w:r>
          </w:p>
        </w:tc>
        <w:tc>
          <w:tcPr>
            <w:tcW w:w="2908" w:type="dxa"/>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wBefore w:w="0" w:type="dxa"/>
          <w:wAfter w:w="0" w:type="dxa"/>
          <w:trHeight w:val="446" w:hRule="atLeast"/>
          <w:jc w:val="center"/>
        </w:trPr>
        <w:tc>
          <w:tcPr>
            <w:tcW w:w="2144" w:type="dxa"/>
            <w:noWrap w:val="0"/>
            <w:vAlign w:val="center"/>
          </w:tcPr>
          <w:p>
            <w:pPr>
              <w:widowControl/>
              <w:jc w:val="right"/>
              <w:rPr>
                <w:rFonts w:hAnsi="宋体"/>
                <w:kern w:val="0"/>
                <w:szCs w:val="21"/>
              </w:rPr>
            </w:pPr>
            <w:r>
              <w:rPr>
                <w:rFonts w:hint="eastAsia" w:hAnsi="宋体"/>
                <w:kern w:val="0"/>
                <w:szCs w:val="21"/>
              </w:rPr>
              <w:t>手机号码：</w:t>
            </w:r>
          </w:p>
        </w:tc>
        <w:tc>
          <w:tcPr>
            <w:tcW w:w="2144" w:type="dxa"/>
            <w:noWrap w:val="0"/>
            <w:vAlign w:val="center"/>
          </w:tcPr>
          <w:p>
            <w:pPr>
              <w:widowControl/>
              <w:jc w:val="left"/>
              <w:rPr>
                <w:rFonts w:hAnsi="宋体"/>
                <w:kern w:val="0"/>
                <w:szCs w:val="21"/>
              </w:rPr>
            </w:pPr>
          </w:p>
        </w:tc>
        <w:tc>
          <w:tcPr>
            <w:tcW w:w="1380" w:type="dxa"/>
            <w:noWrap w:val="0"/>
            <w:vAlign w:val="center"/>
          </w:tcPr>
          <w:p>
            <w:pPr>
              <w:widowControl/>
              <w:jc w:val="right"/>
              <w:rPr>
                <w:rFonts w:hAnsi="宋体"/>
                <w:kern w:val="0"/>
                <w:szCs w:val="21"/>
              </w:rPr>
            </w:pPr>
            <w:r>
              <w:rPr>
                <w:rFonts w:hint="eastAsia" w:hAnsi="宋体"/>
                <w:kern w:val="0"/>
                <w:szCs w:val="21"/>
              </w:rPr>
              <w:t>电子信箱：</w:t>
            </w:r>
          </w:p>
        </w:tc>
        <w:tc>
          <w:tcPr>
            <w:tcW w:w="2908" w:type="dxa"/>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wBefore w:w="0" w:type="dxa"/>
          <w:wAfter w:w="0" w:type="dxa"/>
          <w:trHeight w:val="446" w:hRule="atLeast"/>
          <w:jc w:val="center"/>
        </w:trPr>
        <w:tc>
          <w:tcPr>
            <w:tcW w:w="2144" w:type="dxa"/>
            <w:noWrap w:val="0"/>
            <w:vAlign w:val="center"/>
          </w:tcPr>
          <w:p>
            <w:pPr>
              <w:widowControl/>
              <w:jc w:val="right"/>
              <w:rPr>
                <w:rFonts w:hAnsi="宋体"/>
                <w:kern w:val="0"/>
                <w:szCs w:val="21"/>
              </w:rPr>
            </w:pPr>
            <w:r>
              <w:rPr>
                <w:rFonts w:hint="eastAsia" w:hAnsi="宋体"/>
                <w:kern w:val="0"/>
                <w:szCs w:val="21"/>
              </w:rPr>
              <w:t>固定电话：</w:t>
            </w:r>
          </w:p>
        </w:tc>
        <w:tc>
          <w:tcPr>
            <w:tcW w:w="2144" w:type="dxa"/>
            <w:noWrap w:val="0"/>
            <w:vAlign w:val="center"/>
          </w:tcPr>
          <w:p>
            <w:pPr>
              <w:widowControl/>
              <w:jc w:val="left"/>
              <w:rPr>
                <w:rFonts w:hAnsi="宋体"/>
                <w:kern w:val="0"/>
                <w:szCs w:val="21"/>
              </w:rPr>
            </w:pPr>
          </w:p>
        </w:tc>
        <w:tc>
          <w:tcPr>
            <w:tcW w:w="1380" w:type="dxa"/>
            <w:noWrap w:val="0"/>
            <w:vAlign w:val="center"/>
          </w:tcPr>
          <w:p>
            <w:pPr>
              <w:widowControl/>
              <w:jc w:val="right"/>
              <w:rPr>
                <w:rFonts w:hAnsi="宋体"/>
                <w:kern w:val="0"/>
                <w:szCs w:val="21"/>
              </w:rPr>
            </w:pPr>
            <w:r>
              <w:rPr>
                <w:rFonts w:hint="eastAsia" w:hAnsi="宋体"/>
                <w:kern w:val="0"/>
                <w:szCs w:val="21"/>
              </w:rPr>
              <w:t>传真号码：</w:t>
            </w:r>
          </w:p>
        </w:tc>
        <w:tc>
          <w:tcPr>
            <w:tcW w:w="2908" w:type="dxa"/>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wBefore w:w="0" w:type="dxa"/>
          <w:wAfter w:w="0" w:type="dxa"/>
          <w:trHeight w:val="446" w:hRule="atLeast"/>
          <w:jc w:val="center"/>
        </w:trPr>
        <w:tc>
          <w:tcPr>
            <w:tcW w:w="2144" w:type="dxa"/>
            <w:noWrap w:val="0"/>
            <w:vAlign w:val="center"/>
          </w:tcPr>
          <w:p>
            <w:pPr>
              <w:widowControl/>
              <w:jc w:val="right"/>
              <w:rPr>
                <w:rFonts w:hAnsi="宋体"/>
                <w:kern w:val="0"/>
                <w:szCs w:val="21"/>
              </w:rPr>
            </w:pPr>
            <w:r>
              <w:rPr>
                <w:rFonts w:hint="eastAsia" w:hAnsi="宋体"/>
                <w:kern w:val="0"/>
                <w:szCs w:val="21"/>
              </w:rPr>
              <w:t>邮政邮编：</w:t>
            </w:r>
          </w:p>
        </w:tc>
        <w:tc>
          <w:tcPr>
            <w:tcW w:w="2144" w:type="dxa"/>
            <w:noWrap w:val="0"/>
            <w:vAlign w:val="center"/>
          </w:tcPr>
          <w:p>
            <w:pPr>
              <w:widowControl/>
              <w:jc w:val="left"/>
              <w:rPr>
                <w:rFonts w:hAnsi="宋体"/>
                <w:kern w:val="0"/>
                <w:szCs w:val="21"/>
              </w:rPr>
            </w:pPr>
          </w:p>
        </w:tc>
        <w:tc>
          <w:tcPr>
            <w:tcW w:w="1380" w:type="dxa"/>
            <w:noWrap w:val="0"/>
            <w:vAlign w:val="center"/>
          </w:tcPr>
          <w:p>
            <w:pPr>
              <w:widowControl/>
              <w:jc w:val="center"/>
              <w:rPr>
                <w:rFonts w:hAnsi="宋体"/>
                <w:kern w:val="0"/>
                <w:szCs w:val="21"/>
              </w:rPr>
            </w:pPr>
            <w:r>
              <w:rPr>
                <w:rFonts w:hint="eastAsia" w:ascii="宋体" w:hAnsi="宋体"/>
                <w:szCs w:val="21"/>
              </w:rPr>
              <w:t>日期：</w:t>
            </w:r>
          </w:p>
        </w:tc>
        <w:tc>
          <w:tcPr>
            <w:tcW w:w="2908" w:type="dxa"/>
            <w:noWrap w:val="0"/>
            <w:vAlign w:val="center"/>
          </w:tcPr>
          <w:p>
            <w:pPr>
              <w:widowControl/>
              <w:jc w:val="left"/>
              <w:rPr>
                <w:rFonts w:hAnsi="宋体"/>
                <w:kern w:val="0"/>
                <w:szCs w:val="21"/>
              </w:rPr>
            </w:pPr>
            <w:r>
              <w:rPr>
                <w:rFonts w:hint="eastAsia" w:ascii="宋体" w:hAnsi="宋体"/>
                <w:szCs w:val="21"/>
              </w:rPr>
              <w:t>20   年   月    日</w:t>
            </w:r>
          </w:p>
        </w:tc>
      </w:tr>
    </w:tbl>
    <w:p>
      <w:pPr>
        <w:rPr>
          <w:rFonts w:hint="eastAsia"/>
          <w:color w:val="FF0000"/>
        </w:rPr>
      </w:pPr>
    </w:p>
    <w:p>
      <w:pPr>
        <w:pStyle w:val="4"/>
        <w:snapToGrid w:val="0"/>
        <w:spacing w:before="0" w:after="0" w:line="360" w:lineRule="auto"/>
        <w:jc w:val="center"/>
        <w:rPr>
          <w:rFonts w:ascii="黑体" w:hAnsi="黑体" w:eastAsia="黑体"/>
        </w:rPr>
      </w:pPr>
      <w:bookmarkStart w:id="53" w:name="FUJIAN29"/>
      <w:bookmarkEnd w:id="53"/>
      <w:bookmarkStart w:id="54" w:name="_Toc161306885"/>
      <w:r>
        <w:rPr>
          <w:rFonts w:hint="eastAsia" w:ascii="黑体" w:hAnsi="黑体" w:eastAsia="黑体"/>
        </w:rPr>
        <w:t>3、报价一览表</w:t>
      </w:r>
      <w:r>
        <w:rPr>
          <w:rFonts w:hint="eastAsia" w:ascii="黑体" w:hAnsi="黑体" w:eastAsia="黑体"/>
          <w:b w:val="0"/>
        </w:rPr>
        <w:t>（第一轮报价）</w:t>
      </w:r>
      <w:bookmarkEnd w:id="54"/>
    </w:p>
    <w:p>
      <w:pPr>
        <w:spacing w:line="360" w:lineRule="auto"/>
        <w:rPr>
          <w:rFonts w:hint="eastAsia" w:ascii="宋体" w:hAnsi="宋体"/>
        </w:rPr>
      </w:pPr>
    </w:p>
    <w:p>
      <w:pPr>
        <w:spacing w:line="360" w:lineRule="auto"/>
        <w:rPr>
          <w:rFonts w:ascii="宋体" w:hAnsi="宋体"/>
        </w:rPr>
      </w:pPr>
      <w:r>
        <w:rPr>
          <w:rFonts w:hint="eastAsia" w:ascii="宋体" w:hAnsi="宋体"/>
        </w:rPr>
        <w:t>供应商名称：</w:t>
      </w:r>
      <w:r>
        <w:rPr>
          <w:rFonts w:hint="eastAsia" w:ascii="宋体" w:hAnsi="宋体"/>
          <w:u w:val="single"/>
        </w:rPr>
        <w:t xml:space="preserve">                                 </w:t>
      </w:r>
    </w:p>
    <w:p>
      <w:pPr>
        <w:spacing w:line="360" w:lineRule="auto"/>
        <w:rPr>
          <w:rFonts w:hint="eastAsia" w:ascii="宋体" w:hAnsi="宋体"/>
        </w:rPr>
      </w:pPr>
      <w:r>
        <w:rPr>
          <w:rFonts w:hint="eastAsia" w:ascii="宋体" w:hAnsi="宋体"/>
        </w:rPr>
        <w:t>项目</w:t>
      </w:r>
      <w:r>
        <w:rPr>
          <w:rFonts w:hint="eastAsia" w:ascii="宋体" w:hAnsi="宋体"/>
          <w:sz w:val="15"/>
        </w:rPr>
        <w:t xml:space="preserve"> </w:t>
      </w:r>
      <w:r>
        <w:rPr>
          <w:rFonts w:hint="eastAsia" w:ascii="宋体" w:hAnsi="宋体"/>
        </w:rPr>
        <w:t>编</w:t>
      </w:r>
      <w:r>
        <w:rPr>
          <w:rFonts w:hint="eastAsia" w:ascii="宋体" w:hAnsi="宋体"/>
          <w:sz w:val="15"/>
        </w:rPr>
        <w:t xml:space="preserve"> </w:t>
      </w:r>
      <w:r>
        <w:rPr>
          <w:rFonts w:hint="eastAsia" w:ascii="宋体" w:hAnsi="宋体"/>
        </w:rPr>
        <w:t>号：</w:t>
      </w:r>
      <w:r>
        <w:rPr>
          <w:rFonts w:hint="eastAsia" w:ascii="宋体" w:hAnsi="宋体"/>
          <w:u w:val="single"/>
        </w:rPr>
        <w:t xml:space="preserve">                                  </w:t>
      </w:r>
    </w:p>
    <w:p>
      <w:pPr>
        <w:spacing w:line="360" w:lineRule="auto"/>
        <w:rPr>
          <w:rFonts w:ascii="宋体" w:hAnsi="宋体"/>
          <w:u w:val="single"/>
        </w:rPr>
      </w:pPr>
    </w:p>
    <w:tbl>
      <w:tblPr>
        <w:tblStyle w:val="26"/>
        <w:tblW w:w="50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9"/>
        <w:gridCol w:w="2553"/>
        <w:gridCol w:w="1842"/>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2" w:hRule="atLeast"/>
        </w:trPr>
        <w:tc>
          <w:tcPr>
            <w:tcW w:w="1520"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rPr>
              <w:t>项目名称</w:t>
            </w:r>
          </w:p>
        </w:tc>
        <w:tc>
          <w:tcPr>
            <w:tcW w:w="1459"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cs="Arial"/>
                <w:snapToGrid w:val="0"/>
                <w:kern w:val="0"/>
                <w:szCs w:val="21"/>
              </w:rPr>
            </w:pPr>
            <w:r>
              <w:rPr>
                <w:rFonts w:hint="eastAsia" w:ascii="宋体" w:hAnsi="宋体" w:cs="Arial"/>
                <w:snapToGrid w:val="0"/>
                <w:kern w:val="0"/>
                <w:szCs w:val="21"/>
              </w:rPr>
              <w:t>投标报价</w:t>
            </w: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黑体" w:hAnsi="黑体" w:eastAsia="黑体"/>
                <w:b/>
              </w:rPr>
              <w:t>（第一轮报价）</w:t>
            </w:r>
          </w:p>
        </w:tc>
        <w:tc>
          <w:tcPr>
            <w:tcW w:w="1053"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szCs w:val="21"/>
              </w:rPr>
              <w:t>服务期限</w:t>
            </w:r>
          </w:p>
        </w:tc>
        <w:tc>
          <w:tcPr>
            <w:tcW w:w="968"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8" w:hRule="atLeast"/>
        </w:trPr>
        <w:tc>
          <w:tcPr>
            <w:tcW w:w="1520"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rPr>
              <w:t>国家税务总局深圳市罗湖区税务局2024年自助办税终端驻点运维服务项目</w:t>
            </w:r>
          </w:p>
        </w:tc>
        <w:tc>
          <w:tcPr>
            <w:tcW w:w="1459" w:type="pct"/>
            <w:noWrap w:val="0"/>
            <w:vAlign w:val="center"/>
          </w:tcPr>
          <w:p>
            <w:pPr>
              <w:pStyle w:val="18"/>
              <w:jc w:val="center"/>
            </w:pPr>
          </w:p>
        </w:tc>
        <w:tc>
          <w:tcPr>
            <w:tcW w:w="1053"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rPr>
              <w:t>2024年4月1日至2024年12月31日，共计9个月。</w:t>
            </w:r>
          </w:p>
        </w:tc>
        <w:tc>
          <w:tcPr>
            <w:tcW w:w="968"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p>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u w:val="single"/>
        </w:rPr>
      </w:pPr>
      <w:r>
        <w:rPr>
          <w:rFonts w:hint="eastAsia" w:ascii="宋体" w:hAnsi="宋体"/>
        </w:rPr>
        <w:t>供应商代表（签字）:</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u w:val="single"/>
        </w:rPr>
      </w:pPr>
      <w:r>
        <w:rPr>
          <w:rFonts w:hint="eastAsia" w:ascii="宋体" w:hAnsi="宋体"/>
        </w:rPr>
        <w:t>单位盖章（公章）：</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u w:val="single"/>
        </w:rPr>
      </w:pPr>
      <w:r>
        <w:rPr>
          <w:rFonts w:hint="eastAsia" w:ascii="宋体" w:hAnsi="宋体"/>
          <w:kern w:val="0"/>
        </w:rPr>
        <w:t>日          期：</w:t>
      </w:r>
      <w:r>
        <w:rPr>
          <w:rFonts w:hint="eastAsia" w:ascii="宋体" w:hAnsi="宋体"/>
          <w:kern w:val="0"/>
          <w:u w:val="single"/>
        </w:rPr>
        <w:t xml:space="preserve">                               </w:t>
      </w:r>
    </w:p>
    <w:p>
      <w:pPr>
        <w:rPr>
          <w:rFonts w:hint="eastAsia"/>
          <w:color w:val="FF0000"/>
        </w:rPr>
      </w:pPr>
    </w:p>
    <w:p>
      <w:pPr>
        <w:keepNext/>
        <w:keepLines/>
        <w:spacing w:line="360" w:lineRule="auto"/>
        <w:jc w:val="center"/>
        <w:outlineLvl w:val="2"/>
        <w:rPr>
          <w:rFonts w:hint="eastAsia"/>
          <w:b/>
          <w:sz w:val="28"/>
          <w:szCs w:val="20"/>
        </w:rPr>
      </w:pPr>
      <w:bookmarkStart w:id="55" w:name="_Toc21441161"/>
      <w:r>
        <w:rPr>
          <w:rFonts w:ascii="黑体" w:hAnsi="黑体" w:eastAsia="黑体"/>
          <w:color w:val="FF0000"/>
        </w:rPr>
        <w:br w:type="page"/>
      </w:r>
      <w:bookmarkStart w:id="56" w:name="_Toc121662690"/>
      <w:bookmarkStart w:id="57" w:name="_Toc129858933"/>
      <w:bookmarkStart w:id="58" w:name="_Toc161306886"/>
      <w:r>
        <w:rPr>
          <w:rFonts w:hint="eastAsia"/>
          <w:b/>
          <w:sz w:val="32"/>
          <w:szCs w:val="20"/>
        </w:rPr>
        <w:t>4</w:t>
      </w:r>
      <w:bookmarkStart w:id="59" w:name="FUJIAN30"/>
      <w:bookmarkEnd w:id="59"/>
      <w:r>
        <w:rPr>
          <w:rFonts w:hint="eastAsia"/>
          <w:b/>
          <w:sz w:val="32"/>
          <w:szCs w:val="20"/>
        </w:rPr>
        <w:t>、分项报价表</w:t>
      </w:r>
      <w:bookmarkEnd w:id="56"/>
      <w:bookmarkEnd w:id="57"/>
      <w:bookmarkEnd w:id="58"/>
    </w:p>
    <w:p>
      <w:pPr>
        <w:spacing w:line="360" w:lineRule="auto"/>
        <w:jc w:val="center"/>
        <w:rPr>
          <w:rFonts w:ascii="宋体" w:hAnsi="宋体"/>
          <w:color w:val="FF0000"/>
          <w:szCs w:val="20"/>
        </w:rPr>
      </w:pPr>
      <w:r>
        <w:rPr>
          <w:rFonts w:hint="eastAsia" w:ascii="宋体" w:hAnsi="宋体"/>
          <w:color w:val="FF0000"/>
          <w:szCs w:val="20"/>
        </w:rPr>
        <w:t xml:space="preserve"> </w:t>
      </w:r>
    </w:p>
    <w:p>
      <w:pPr>
        <w:spacing w:line="360" w:lineRule="auto"/>
        <w:jc w:val="center"/>
        <w:rPr>
          <w:rFonts w:hint="eastAsia" w:ascii="宋体" w:hAnsi="宋体"/>
          <w:szCs w:val="21"/>
        </w:rPr>
      </w:pPr>
      <w:r>
        <w:rPr>
          <w:rFonts w:hint="eastAsia" w:ascii="宋体" w:hAnsi="宋体"/>
          <w:szCs w:val="21"/>
        </w:rPr>
        <w:t>（投标人根据实际情况进行调整，须满足磋商文件要求）</w:t>
      </w:r>
    </w:p>
    <w:p>
      <w:pPr>
        <w:spacing w:line="360" w:lineRule="auto"/>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项目编号</w:t>
      </w:r>
      <w:r>
        <w:rPr>
          <w:rFonts w:hint="eastAsia" w:ascii="宋体" w:hAnsi="宋体"/>
          <w:szCs w:val="21"/>
          <w:u w:val="single"/>
        </w:rPr>
        <w:t xml:space="preserve">                     </w:t>
      </w:r>
      <w:r>
        <w:rPr>
          <w:rFonts w:hint="eastAsia" w:ascii="宋体" w:hAnsi="宋体"/>
          <w:szCs w:val="21"/>
        </w:rPr>
        <w:t xml:space="preserve">     </w:t>
      </w:r>
    </w:p>
    <w:p>
      <w:pPr>
        <w:spacing w:line="360" w:lineRule="auto"/>
        <w:rPr>
          <w:rFonts w:hint="eastAsia" w:ascii="宋体" w:hAnsi="宋体"/>
          <w:szCs w:val="21"/>
          <w:u w:val="single"/>
        </w:rPr>
      </w:pPr>
      <w:r>
        <w:rPr>
          <w:rFonts w:hint="eastAsia" w:ascii="宋体" w:hAnsi="宋体"/>
          <w:szCs w:val="21"/>
        </w:rPr>
        <w:t>包       号</w:t>
      </w:r>
      <w:r>
        <w:rPr>
          <w:rFonts w:hint="eastAsia" w:ascii="宋体" w:hAnsi="宋体"/>
          <w:szCs w:val="21"/>
          <w:u w:val="single"/>
        </w:rPr>
        <w:t xml:space="preserve">      （如有）                   </w:t>
      </w:r>
      <w:r>
        <w:rPr>
          <w:rFonts w:hint="eastAsia" w:ascii="宋体" w:hAnsi="宋体"/>
          <w:szCs w:val="21"/>
        </w:rPr>
        <w:t xml:space="preserve">    币    种 </w:t>
      </w:r>
      <w:r>
        <w:rPr>
          <w:rFonts w:hint="eastAsia" w:ascii="宋体" w:hAnsi="宋体"/>
          <w:szCs w:val="21"/>
          <w:u w:val="single"/>
        </w:rPr>
        <w:t xml:space="preserve">     人民币         </w:t>
      </w:r>
    </w:p>
    <w:tbl>
      <w:tblPr>
        <w:tblStyle w:val="2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806"/>
        <w:gridCol w:w="2145"/>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序号</w:t>
            </w:r>
          </w:p>
        </w:tc>
        <w:tc>
          <w:tcPr>
            <w:tcW w:w="2806" w:type="dxa"/>
            <w:noWrap w:val="0"/>
            <w:vAlign w:val="center"/>
          </w:tcPr>
          <w:p>
            <w:pPr>
              <w:autoSpaceDE w:val="0"/>
              <w:autoSpaceDN w:val="0"/>
              <w:adjustRightInd w:val="0"/>
              <w:jc w:val="center"/>
              <w:rPr>
                <w:rFonts w:ascii="宋体" w:hAnsi="宋体"/>
                <w:szCs w:val="21"/>
              </w:rPr>
            </w:pPr>
            <w:r>
              <w:rPr>
                <w:rFonts w:hint="eastAsia" w:ascii="宋体" w:hAnsi="宋体"/>
                <w:szCs w:val="21"/>
              </w:rPr>
              <w:t>分项内容</w:t>
            </w:r>
          </w:p>
        </w:tc>
        <w:tc>
          <w:tcPr>
            <w:tcW w:w="2145" w:type="dxa"/>
            <w:noWrap w:val="0"/>
            <w:vAlign w:val="center"/>
          </w:tcPr>
          <w:p>
            <w:pPr>
              <w:autoSpaceDE w:val="0"/>
              <w:autoSpaceDN w:val="0"/>
              <w:adjustRightInd w:val="0"/>
              <w:jc w:val="center"/>
              <w:rPr>
                <w:rFonts w:ascii="宋体" w:hAnsi="宋体"/>
                <w:szCs w:val="21"/>
              </w:rPr>
            </w:pPr>
            <w:r>
              <w:rPr>
                <w:rFonts w:hint="eastAsia" w:ascii="宋体" w:hAnsi="宋体"/>
                <w:szCs w:val="21"/>
              </w:rPr>
              <w:t>人民币金额(元)</w:t>
            </w:r>
          </w:p>
        </w:tc>
        <w:tc>
          <w:tcPr>
            <w:tcW w:w="1560" w:type="dxa"/>
            <w:noWrap w:val="0"/>
            <w:vAlign w:val="center"/>
          </w:tcPr>
          <w:p>
            <w:pPr>
              <w:autoSpaceDE w:val="0"/>
              <w:autoSpaceDN w:val="0"/>
              <w:adjustRightInd w:val="0"/>
              <w:jc w:val="center"/>
              <w:rPr>
                <w:rFonts w:ascii="宋体" w:hAnsi="宋体"/>
                <w:szCs w:val="21"/>
              </w:rPr>
            </w:pPr>
            <w:r>
              <w:rPr>
                <w:rFonts w:hint="eastAsia" w:ascii="宋体" w:hAnsi="宋体"/>
                <w:szCs w:val="21"/>
              </w:rPr>
              <w:t>计算过程</w:t>
            </w:r>
          </w:p>
        </w:tc>
        <w:tc>
          <w:tcPr>
            <w:tcW w:w="1275" w:type="dxa"/>
            <w:noWrap w:val="0"/>
            <w:vAlign w:val="center"/>
          </w:tcPr>
          <w:p>
            <w:pPr>
              <w:autoSpaceDE w:val="0"/>
              <w:autoSpaceDN w:val="0"/>
              <w:adjustRightIn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1</w:t>
            </w:r>
          </w:p>
        </w:tc>
        <w:tc>
          <w:tcPr>
            <w:tcW w:w="2806" w:type="dxa"/>
            <w:noWrap w:val="0"/>
            <w:vAlign w:val="center"/>
          </w:tcPr>
          <w:p>
            <w:pPr>
              <w:autoSpaceDE w:val="0"/>
              <w:autoSpaceDN w:val="0"/>
              <w:adjustRightInd w:val="0"/>
              <w:rPr>
                <w:rFonts w:ascii="宋体" w:hAnsi="宋体"/>
                <w:szCs w:val="21"/>
              </w:rPr>
            </w:pPr>
            <w:r>
              <w:rPr>
                <w:rFonts w:hint="eastAsia" w:ascii="宋体" w:hAnsi="宋体"/>
                <w:szCs w:val="21"/>
              </w:rPr>
              <w:t>直接费</w:t>
            </w:r>
          </w:p>
        </w:tc>
        <w:tc>
          <w:tcPr>
            <w:tcW w:w="2145" w:type="dxa"/>
            <w:noWrap w:val="0"/>
            <w:vAlign w:val="center"/>
          </w:tcPr>
          <w:p>
            <w:pPr>
              <w:spacing w:line="360" w:lineRule="auto"/>
              <w:jc w:val="center"/>
              <w:rPr>
                <w:rFonts w:ascii="宋体" w:hAnsi="宋体"/>
                <w:szCs w:val="21"/>
              </w:rPr>
            </w:pP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1.1</w:t>
            </w:r>
          </w:p>
        </w:tc>
        <w:tc>
          <w:tcPr>
            <w:tcW w:w="2806" w:type="dxa"/>
            <w:noWrap w:val="0"/>
            <w:vAlign w:val="center"/>
          </w:tcPr>
          <w:p>
            <w:pPr>
              <w:spacing w:line="400" w:lineRule="exact"/>
              <w:jc w:val="left"/>
              <w:rPr>
                <w:rFonts w:ascii="宋体" w:hAnsi="宋体"/>
                <w:spacing w:val="6"/>
                <w:szCs w:val="21"/>
              </w:rPr>
            </w:pPr>
          </w:p>
        </w:tc>
        <w:tc>
          <w:tcPr>
            <w:tcW w:w="2145" w:type="dxa"/>
            <w:noWrap w:val="0"/>
            <w:vAlign w:val="center"/>
          </w:tcPr>
          <w:p>
            <w:pPr>
              <w:spacing w:line="360" w:lineRule="auto"/>
              <w:jc w:val="center"/>
              <w:rPr>
                <w:rFonts w:ascii="宋体" w:hAnsi="宋体"/>
                <w:szCs w:val="21"/>
              </w:rPr>
            </w:pP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1.2</w:t>
            </w:r>
          </w:p>
        </w:tc>
        <w:tc>
          <w:tcPr>
            <w:tcW w:w="2806" w:type="dxa"/>
            <w:noWrap w:val="0"/>
            <w:vAlign w:val="center"/>
          </w:tcPr>
          <w:p>
            <w:pPr>
              <w:spacing w:line="400" w:lineRule="exact"/>
              <w:jc w:val="left"/>
              <w:rPr>
                <w:rFonts w:ascii="宋体" w:hAnsi="宋体"/>
                <w:spacing w:val="6"/>
                <w:szCs w:val="21"/>
              </w:rPr>
            </w:pPr>
          </w:p>
        </w:tc>
        <w:tc>
          <w:tcPr>
            <w:tcW w:w="2145" w:type="dxa"/>
            <w:noWrap w:val="0"/>
            <w:vAlign w:val="center"/>
          </w:tcPr>
          <w:p>
            <w:pPr>
              <w:spacing w:line="360" w:lineRule="auto"/>
              <w:jc w:val="center"/>
              <w:rPr>
                <w:rFonts w:ascii="宋体" w:hAnsi="宋体"/>
                <w:szCs w:val="21"/>
              </w:rPr>
            </w:pP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1.3</w:t>
            </w:r>
          </w:p>
        </w:tc>
        <w:tc>
          <w:tcPr>
            <w:tcW w:w="2806" w:type="dxa"/>
            <w:noWrap w:val="0"/>
            <w:vAlign w:val="center"/>
          </w:tcPr>
          <w:p>
            <w:pPr>
              <w:spacing w:line="400" w:lineRule="exact"/>
              <w:jc w:val="left"/>
              <w:rPr>
                <w:rFonts w:ascii="宋体" w:hAnsi="宋体"/>
                <w:spacing w:val="6"/>
                <w:szCs w:val="21"/>
              </w:rPr>
            </w:pPr>
          </w:p>
        </w:tc>
        <w:tc>
          <w:tcPr>
            <w:tcW w:w="2145" w:type="dxa"/>
            <w:noWrap w:val="0"/>
            <w:vAlign w:val="center"/>
          </w:tcPr>
          <w:p>
            <w:pPr>
              <w:spacing w:line="360" w:lineRule="auto"/>
              <w:jc w:val="center"/>
              <w:rPr>
                <w:rFonts w:ascii="宋体" w:hAnsi="宋体"/>
                <w:szCs w:val="21"/>
              </w:rPr>
            </w:pP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ascii="宋体" w:hAnsi="宋体"/>
                <w:szCs w:val="21"/>
              </w:rPr>
              <w:t>……</w:t>
            </w:r>
          </w:p>
        </w:tc>
        <w:tc>
          <w:tcPr>
            <w:tcW w:w="2806" w:type="dxa"/>
            <w:noWrap w:val="0"/>
            <w:vAlign w:val="center"/>
          </w:tcPr>
          <w:p>
            <w:pPr>
              <w:autoSpaceDE w:val="0"/>
              <w:autoSpaceDN w:val="0"/>
              <w:adjustRightInd w:val="0"/>
              <w:rPr>
                <w:rFonts w:ascii="宋体" w:hAnsi="宋体"/>
                <w:spacing w:val="-2"/>
                <w:szCs w:val="21"/>
              </w:rPr>
            </w:pPr>
            <w:r>
              <w:rPr>
                <w:rFonts w:ascii="宋体" w:hAnsi="宋体"/>
                <w:spacing w:val="-2"/>
                <w:szCs w:val="21"/>
              </w:rPr>
              <w:t>……</w:t>
            </w:r>
          </w:p>
        </w:tc>
        <w:tc>
          <w:tcPr>
            <w:tcW w:w="2145" w:type="dxa"/>
            <w:noWrap w:val="0"/>
            <w:vAlign w:val="center"/>
          </w:tcPr>
          <w:p>
            <w:pPr>
              <w:spacing w:line="360" w:lineRule="auto"/>
              <w:jc w:val="center"/>
              <w:rPr>
                <w:rFonts w:ascii="宋体" w:hAnsi="宋体"/>
                <w:szCs w:val="21"/>
              </w:rPr>
            </w:pP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2</w:t>
            </w:r>
          </w:p>
        </w:tc>
        <w:tc>
          <w:tcPr>
            <w:tcW w:w="2806" w:type="dxa"/>
            <w:noWrap w:val="0"/>
            <w:vAlign w:val="center"/>
          </w:tcPr>
          <w:p>
            <w:pPr>
              <w:autoSpaceDE w:val="0"/>
              <w:autoSpaceDN w:val="0"/>
              <w:adjustRightInd w:val="0"/>
              <w:rPr>
                <w:rFonts w:ascii="宋体" w:hAnsi="宋体"/>
                <w:szCs w:val="21"/>
              </w:rPr>
            </w:pPr>
            <w:r>
              <w:rPr>
                <w:rFonts w:hint="eastAsia" w:ascii="宋体" w:hAnsi="宋体"/>
                <w:szCs w:val="21"/>
              </w:rPr>
              <w:t>不可预见费</w:t>
            </w:r>
          </w:p>
        </w:tc>
        <w:tc>
          <w:tcPr>
            <w:tcW w:w="2145" w:type="dxa"/>
            <w:noWrap w:val="0"/>
            <w:vAlign w:val="center"/>
          </w:tcPr>
          <w:p>
            <w:pPr>
              <w:spacing w:line="360" w:lineRule="auto"/>
              <w:jc w:val="center"/>
              <w:rPr>
                <w:rFonts w:ascii="宋体" w:hAnsi="宋体"/>
                <w:szCs w:val="21"/>
              </w:rPr>
            </w:pPr>
            <w:r>
              <w:rPr>
                <w:rFonts w:hint="eastAsia" w:ascii="宋体" w:hAnsi="Courier New"/>
                <w:b/>
                <w:szCs w:val="20"/>
              </w:rPr>
              <w:t>无</w:t>
            </w: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3</w:t>
            </w:r>
          </w:p>
        </w:tc>
        <w:tc>
          <w:tcPr>
            <w:tcW w:w="2806" w:type="dxa"/>
            <w:noWrap w:val="0"/>
            <w:vAlign w:val="center"/>
          </w:tcPr>
          <w:p>
            <w:pPr>
              <w:autoSpaceDE w:val="0"/>
              <w:autoSpaceDN w:val="0"/>
              <w:adjustRightInd w:val="0"/>
              <w:rPr>
                <w:rFonts w:ascii="宋体" w:hAnsi="宋体"/>
                <w:szCs w:val="21"/>
              </w:rPr>
            </w:pPr>
            <w:r>
              <w:rPr>
                <w:rFonts w:hAnsi="Arial"/>
                <w:spacing w:val="-2"/>
                <w:szCs w:val="21"/>
              </w:rPr>
              <w:t>政策性文件规定费用</w:t>
            </w:r>
            <w:r>
              <w:rPr>
                <w:rFonts w:hint="eastAsia" w:hAnsi="Arial"/>
                <w:spacing w:val="-2"/>
                <w:szCs w:val="21"/>
              </w:rPr>
              <w:t>（</w:t>
            </w:r>
            <w:r>
              <w:rPr>
                <w:rFonts w:hint="eastAsia" w:ascii="宋体" w:hAnsi="宋体"/>
                <w:szCs w:val="21"/>
              </w:rPr>
              <w:t>若有此项费用必须提供详细说明</w:t>
            </w:r>
            <w:r>
              <w:rPr>
                <w:rFonts w:hint="eastAsia" w:hAnsi="Arial"/>
                <w:spacing w:val="-2"/>
                <w:szCs w:val="21"/>
              </w:rPr>
              <w:t>）</w:t>
            </w:r>
          </w:p>
        </w:tc>
        <w:tc>
          <w:tcPr>
            <w:tcW w:w="2145" w:type="dxa"/>
            <w:noWrap w:val="0"/>
            <w:vAlign w:val="center"/>
          </w:tcPr>
          <w:p>
            <w:pPr>
              <w:spacing w:line="360" w:lineRule="auto"/>
              <w:jc w:val="center"/>
              <w:rPr>
                <w:rFonts w:ascii="宋体" w:hAnsi="宋体"/>
                <w:szCs w:val="21"/>
              </w:rPr>
            </w:pPr>
            <w:r>
              <w:rPr>
                <w:rFonts w:hint="eastAsia" w:ascii="宋体" w:hAnsi="Courier New"/>
                <w:b/>
                <w:szCs w:val="20"/>
              </w:rPr>
              <w:t>无</w:t>
            </w: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4</w:t>
            </w:r>
          </w:p>
        </w:tc>
        <w:tc>
          <w:tcPr>
            <w:tcW w:w="2806" w:type="dxa"/>
            <w:noWrap w:val="0"/>
            <w:vAlign w:val="center"/>
          </w:tcPr>
          <w:p>
            <w:pPr>
              <w:autoSpaceDE w:val="0"/>
              <w:autoSpaceDN w:val="0"/>
              <w:adjustRightInd w:val="0"/>
              <w:rPr>
                <w:rFonts w:ascii="宋体" w:hAnsi="宋体"/>
                <w:szCs w:val="21"/>
              </w:rPr>
            </w:pPr>
            <w:r>
              <w:rPr>
                <w:rFonts w:hAnsi="宋体"/>
                <w:szCs w:val="21"/>
              </w:rPr>
              <w:t>税金</w:t>
            </w:r>
          </w:p>
        </w:tc>
        <w:tc>
          <w:tcPr>
            <w:tcW w:w="2145" w:type="dxa"/>
            <w:noWrap w:val="0"/>
            <w:vAlign w:val="center"/>
          </w:tcPr>
          <w:p>
            <w:pPr>
              <w:spacing w:line="360" w:lineRule="auto"/>
              <w:jc w:val="center"/>
              <w:rPr>
                <w:rFonts w:ascii="宋体" w:hAnsi="宋体"/>
                <w:szCs w:val="21"/>
              </w:rPr>
            </w:pPr>
            <w:r>
              <w:rPr>
                <w:rFonts w:hint="eastAsia" w:ascii="宋体" w:hAnsi="Courier New"/>
                <w:b/>
                <w:szCs w:val="20"/>
              </w:rPr>
              <w:t>含</w:t>
            </w: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5</w:t>
            </w:r>
          </w:p>
        </w:tc>
        <w:tc>
          <w:tcPr>
            <w:tcW w:w="2806" w:type="dxa"/>
            <w:noWrap w:val="0"/>
            <w:vAlign w:val="center"/>
          </w:tcPr>
          <w:p>
            <w:pPr>
              <w:autoSpaceDE w:val="0"/>
              <w:autoSpaceDN w:val="0"/>
              <w:adjustRightInd w:val="0"/>
              <w:rPr>
                <w:rFonts w:ascii="宋体" w:hAnsi="宋体"/>
                <w:szCs w:val="21"/>
              </w:rPr>
            </w:pPr>
            <w:r>
              <w:rPr>
                <w:rFonts w:hint="eastAsia" w:ascii="宋体" w:hAnsi="宋体"/>
                <w:szCs w:val="21"/>
              </w:rPr>
              <w:t>利润</w:t>
            </w:r>
          </w:p>
        </w:tc>
        <w:tc>
          <w:tcPr>
            <w:tcW w:w="2145" w:type="dxa"/>
            <w:noWrap w:val="0"/>
            <w:vAlign w:val="center"/>
          </w:tcPr>
          <w:p>
            <w:pPr>
              <w:spacing w:line="360" w:lineRule="auto"/>
              <w:jc w:val="center"/>
              <w:rPr>
                <w:rFonts w:ascii="宋体" w:hAnsi="宋体"/>
                <w:szCs w:val="21"/>
              </w:rPr>
            </w:pPr>
            <w:r>
              <w:rPr>
                <w:rFonts w:hint="eastAsia" w:ascii="宋体" w:hAnsi="Courier New"/>
                <w:b/>
                <w:szCs w:val="20"/>
              </w:rPr>
              <w:t>含</w:t>
            </w: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6</w:t>
            </w:r>
          </w:p>
        </w:tc>
        <w:tc>
          <w:tcPr>
            <w:tcW w:w="2806" w:type="dxa"/>
            <w:noWrap w:val="0"/>
            <w:vAlign w:val="center"/>
          </w:tcPr>
          <w:p>
            <w:pPr>
              <w:autoSpaceDE w:val="0"/>
              <w:autoSpaceDN w:val="0"/>
              <w:adjustRightInd w:val="0"/>
              <w:rPr>
                <w:rFonts w:ascii="宋体" w:hAnsi="宋体"/>
                <w:szCs w:val="21"/>
              </w:rPr>
            </w:pPr>
            <w:r>
              <w:rPr>
                <w:rFonts w:hAnsi="Arial"/>
                <w:spacing w:val="-2"/>
                <w:szCs w:val="21"/>
              </w:rPr>
              <w:t>风险费</w:t>
            </w:r>
          </w:p>
        </w:tc>
        <w:tc>
          <w:tcPr>
            <w:tcW w:w="2145" w:type="dxa"/>
            <w:noWrap w:val="0"/>
            <w:vAlign w:val="center"/>
          </w:tcPr>
          <w:p>
            <w:pPr>
              <w:spacing w:line="360" w:lineRule="auto"/>
              <w:jc w:val="center"/>
              <w:rPr>
                <w:rFonts w:ascii="宋体" w:hAnsi="宋体"/>
                <w:szCs w:val="21"/>
              </w:rPr>
            </w:pPr>
            <w:r>
              <w:rPr>
                <w:rFonts w:hint="eastAsia" w:ascii="宋体" w:hAnsi="Courier New"/>
                <w:b/>
                <w:szCs w:val="20"/>
              </w:rPr>
              <w:t>含</w:t>
            </w: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7" w:type="dxa"/>
            <w:noWrap w:val="0"/>
            <w:vAlign w:val="center"/>
          </w:tcPr>
          <w:p>
            <w:pPr>
              <w:autoSpaceDE w:val="0"/>
              <w:autoSpaceDN w:val="0"/>
              <w:adjustRightInd w:val="0"/>
              <w:jc w:val="center"/>
              <w:rPr>
                <w:rFonts w:ascii="宋体" w:hAnsi="宋体"/>
                <w:szCs w:val="21"/>
              </w:rPr>
            </w:pPr>
            <w:r>
              <w:rPr>
                <w:rFonts w:hint="eastAsia" w:ascii="宋体" w:hAnsi="宋体"/>
                <w:szCs w:val="21"/>
              </w:rPr>
              <w:t>7</w:t>
            </w:r>
          </w:p>
        </w:tc>
        <w:tc>
          <w:tcPr>
            <w:tcW w:w="2806" w:type="dxa"/>
            <w:noWrap w:val="0"/>
            <w:vAlign w:val="center"/>
          </w:tcPr>
          <w:p>
            <w:pPr>
              <w:autoSpaceDE w:val="0"/>
              <w:autoSpaceDN w:val="0"/>
              <w:adjustRightInd w:val="0"/>
              <w:rPr>
                <w:rFonts w:ascii="宋体" w:hAnsi="宋体"/>
                <w:szCs w:val="21"/>
              </w:rPr>
            </w:pPr>
            <w:r>
              <w:rPr>
                <w:rFonts w:hint="eastAsia" w:ascii="宋体" w:hAnsi="宋体"/>
                <w:szCs w:val="21"/>
              </w:rPr>
              <w:t>其他（若有此项费用必须提供详细说明）</w:t>
            </w:r>
          </w:p>
        </w:tc>
        <w:tc>
          <w:tcPr>
            <w:tcW w:w="2145" w:type="dxa"/>
            <w:noWrap w:val="0"/>
            <w:vAlign w:val="center"/>
          </w:tcPr>
          <w:p>
            <w:pPr>
              <w:spacing w:line="360" w:lineRule="auto"/>
              <w:jc w:val="center"/>
              <w:rPr>
                <w:rFonts w:ascii="宋体" w:hAnsi="宋体"/>
                <w:szCs w:val="21"/>
              </w:rPr>
            </w:pPr>
            <w:r>
              <w:rPr>
                <w:rFonts w:hint="eastAsia" w:ascii="宋体" w:hAnsi="Courier New"/>
                <w:b/>
                <w:szCs w:val="20"/>
              </w:rPr>
              <w:t>无</w:t>
            </w:r>
          </w:p>
        </w:tc>
        <w:tc>
          <w:tcPr>
            <w:tcW w:w="1560" w:type="dxa"/>
            <w:noWrap w:val="0"/>
            <w:vAlign w:val="center"/>
          </w:tcPr>
          <w:p>
            <w:pPr>
              <w:spacing w:line="360" w:lineRule="auto"/>
              <w:jc w:val="center"/>
              <w:rPr>
                <w:rFonts w:ascii="宋体" w:hAnsi="宋体"/>
                <w:szCs w:val="21"/>
              </w:rPr>
            </w:pPr>
          </w:p>
        </w:tc>
        <w:tc>
          <w:tcPr>
            <w:tcW w:w="127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99" w:hRule="atLeast"/>
        </w:trPr>
        <w:tc>
          <w:tcPr>
            <w:tcW w:w="3633" w:type="dxa"/>
            <w:gridSpan w:val="2"/>
            <w:noWrap w:val="0"/>
            <w:vAlign w:val="center"/>
          </w:tcPr>
          <w:p>
            <w:pPr>
              <w:autoSpaceDE w:val="0"/>
              <w:autoSpaceDN w:val="0"/>
              <w:adjustRightInd w:val="0"/>
              <w:jc w:val="center"/>
              <w:rPr>
                <w:rFonts w:ascii="宋体" w:hAnsi="宋体"/>
                <w:szCs w:val="21"/>
              </w:rPr>
            </w:pPr>
            <w:r>
              <w:rPr>
                <w:rFonts w:hint="eastAsia" w:ascii="宋体" w:hAnsi="宋体"/>
                <w:szCs w:val="21"/>
              </w:rPr>
              <w:t>总    计</w:t>
            </w:r>
          </w:p>
        </w:tc>
        <w:tc>
          <w:tcPr>
            <w:tcW w:w="4980" w:type="dxa"/>
            <w:gridSpan w:val="3"/>
            <w:noWrap w:val="0"/>
            <w:vAlign w:val="center"/>
          </w:tcPr>
          <w:p>
            <w:pPr>
              <w:jc w:val="left"/>
              <w:rPr>
                <w:rFonts w:ascii="宋体" w:hAnsi="宋体"/>
                <w:szCs w:val="21"/>
              </w:rPr>
            </w:pPr>
            <w:r>
              <w:rPr>
                <w:rFonts w:hint="eastAsia" w:ascii="宋体" w:hAnsi="宋体"/>
                <w:b/>
                <w:szCs w:val="21"/>
              </w:rPr>
              <w:t>大写：______________</w:t>
            </w:r>
            <w:r>
              <w:rPr>
                <w:rFonts w:hint="eastAsia" w:ascii="宋体" w:hAnsi="宋体"/>
                <w:b/>
                <w:szCs w:val="21"/>
                <w:u w:val="single"/>
              </w:rPr>
              <w:t xml:space="preserve">            </w:t>
            </w:r>
            <w:r>
              <w:rPr>
                <w:rFonts w:hint="eastAsia" w:ascii="宋体" w:hAnsi="宋体"/>
                <w:b/>
                <w:szCs w:val="21"/>
              </w:rPr>
              <w:t>（￥_______________）</w:t>
            </w:r>
          </w:p>
        </w:tc>
      </w:tr>
    </w:tbl>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供应商代表签字</w:t>
      </w:r>
      <w:r>
        <w:rPr>
          <w:rFonts w:hint="eastAsia" w:ascii="宋体" w:hAnsi="宋体"/>
          <w:szCs w:val="21"/>
          <w:u w:val="single"/>
        </w:rPr>
        <w:t xml:space="preserve">                             </w:t>
      </w:r>
      <w:r>
        <w:rPr>
          <w:rFonts w:hint="eastAsia" w:ascii="宋体" w:hAnsi="宋体"/>
          <w:szCs w:val="21"/>
        </w:rPr>
        <w:t xml:space="preserve"> </w:t>
      </w:r>
    </w:p>
    <w:p>
      <w:pPr>
        <w:spacing w:line="400" w:lineRule="exact"/>
        <w:rPr>
          <w:rFonts w:hint="eastAsia" w:ascii="宋体" w:hAnsi="宋体"/>
          <w:szCs w:val="21"/>
        </w:rPr>
      </w:pPr>
    </w:p>
    <w:p>
      <w:pPr>
        <w:spacing w:line="400" w:lineRule="exact"/>
        <w:rPr>
          <w:rFonts w:hint="eastAsia" w:ascii="宋体" w:hAnsi="宋体"/>
          <w:szCs w:val="21"/>
          <w:u w:val="single"/>
        </w:rPr>
      </w:pPr>
      <w:r>
        <w:rPr>
          <w:rFonts w:hint="eastAsia" w:ascii="宋体" w:hAnsi="宋体"/>
          <w:szCs w:val="21"/>
        </w:rPr>
        <w:t>单位盖章（公章）：</w:t>
      </w:r>
      <w:r>
        <w:rPr>
          <w:rFonts w:hint="eastAsia" w:ascii="宋体" w:hAnsi="宋体"/>
          <w:szCs w:val="21"/>
          <w:u w:val="single"/>
        </w:rPr>
        <w:t xml:space="preserve">                          </w:t>
      </w:r>
    </w:p>
    <w:p>
      <w:pPr>
        <w:spacing w:line="400" w:lineRule="exact"/>
        <w:ind w:left="420"/>
        <w:rPr>
          <w:rFonts w:hint="eastAsia"/>
          <w:b/>
          <w:szCs w:val="21"/>
        </w:rPr>
      </w:pPr>
    </w:p>
    <w:p>
      <w:pPr>
        <w:spacing w:line="400" w:lineRule="exact"/>
        <w:ind w:left="420"/>
        <w:rPr>
          <w:szCs w:val="21"/>
        </w:rPr>
      </w:pPr>
      <w:r>
        <w:rPr>
          <w:rFonts w:hint="eastAsia"/>
          <w:b/>
          <w:szCs w:val="21"/>
        </w:rPr>
        <w:t>注</w:t>
      </w:r>
      <w:r>
        <w:rPr>
          <w:rFonts w:hint="eastAsia"/>
          <w:szCs w:val="21"/>
        </w:rPr>
        <w:t>：</w:t>
      </w:r>
    </w:p>
    <w:p>
      <w:pPr>
        <w:spacing w:line="400" w:lineRule="exact"/>
        <w:ind w:left="420"/>
        <w:rPr>
          <w:rFonts w:hint="eastAsia"/>
          <w:szCs w:val="21"/>
        </w:rPr>
      </w:pPr>
      <w:r>
        <w:rPr>
          <w:rFonts w:hint="eastAsia"/>
          <w:szCs w:val="21"/>
        </w:rPr>
        <w:t>1、</w:t>
      </w:r>
      <w:r>
        <w:rPr>
          <w:rFonts w:hint="eastAsia"/>
          <w:b/>
          <w:szCs w:val="20"/>
        </w:rPr>
        <w:t>各项费用须如实填写，如已含在产品价格中，则填“含”，免费则填“免”，如无此项内容则填写“无”，不允许空白。</w:t>
      </w:r>
    </w:p>
    <w:p>
      <w:pPr>
        <w:spacing w:line="400" w:lineRule="exact"/>
        <w:ind w:firstLine="420" w:firstLineChars="200"/>
        <w:rPr>
          <w:rFonts w:hint="eastAsia"/>
          <w:szCs w:val="21"/>
        </w:rPr>
      </w:pPr>
      <w:r>
        <w:rPr>
          <w:rFonts w:hint="eastAsia"/>
          <w:szCs w:val="21"/>
        </w:rPr>
        <w:t>2、如果不提供详细分项报价将视为没有实质性响应磋商文件。</w:t>
      </w:r>
    </w:p>
    <w:p>
      <w:pPr>
        <w:spacing w:line="400" w:lineRule="exact"/>
        <w:ind w:firstLine="420" w:firstLineChars="200"/>
        <w:rPr>
          <w:rFonts w:hint="eastAsia"/>
          <w:szCs w:val="21"/>
        </w:rPr>
      </w:pPr>
      <w:r>
        <w:rPr>
          <w:rFonts w:hint="eastAsia"/>
          <w:szCs w:val="21"/>
        </w:rPr>
        <w:t>3、总计价应等于《报价一览表》中的投标总价。</w:t>
      </w:r>
    </w:p>
    <w:p>
      <w:pPr>
        <w:pStyle w:val="4"/>
        <w:snapToGrid w:val="0"/>
        <w:spacing w:before="0" w:after="0" w:line="360" w:lineRule="auto"/>
        <w:jc w:val="center"/>
        <w:rPr>
          <w:rFonts w:hint="eastAsia" w:ascii="黑体" w:hAnsi="黑体" w:eastAsia="黑体"/>
        </w:rPr>
      </w:pPr>
      <w:r>
        <w:rPr>
          <w:rFonts w:ascii="黑体" w:hAnsi="黑体" w:eastAsia="黑体"/>
        </w:rPr>
        <w:br w:type="page"/>
      </w:r>
      <w:bookmarkStart w:id="60" w:name="_Toc161306887"/>
      <w:r>
        <w:rPr>
          <w:rFonts w:hint="eastAsia" w:ascii="黑体" w:hAnsi="黑体" w:eastAsia="黑体"/>
        </w:rPr>
        <w:t>5、商务条款对照说明表</w:t>
      </w:r>
      <w:bookmarkEnd w:id="55"/>
      <w:bookmarkEnd w:id="60"/>
    </w:p>
    <w:p>
      <w:pPr>
        <w:spacing w:line="360" w:lineRule="auto"/>
        <w:rPr>
          <w:rFonts w:hint="eastAsia" w:ascii="宋体" w:hAnsi="宋体"/>
          <w:szCs w:val="21"/>
          <w:u w:val="single"/>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 xml:space="preserve">             </w:t>
      </w:r>
      <w:r>
        <w:rPr>
          <w:rFonts w:hint="eastAsia" w:hAnsi="宋体"/>
          <w:szCs w:val="21"/>
        </w:rPr>
        <w:t>项目</w:t>
      </w:r>
      <w:r>
        <w:rPr>
          <w:rFonts w:hAnsi="宋体"/>
          <w:szCs w:val="21"/>
        </w:rPr>
        <w:t>编号</w:t>
      </w:r>
      <w:r>
        <w:rPr>
          <w:rFonts w:hAnsi="宋体"/>
          <w:szCs w:val="21"/>
          <w:u w:val="single"/>
        </w:rPr>
        <w:t xml:space="preserve">           </w:t>
      </w:r>
      <w:r>
        <w:rPr>
          <w:rFonts w:hint="eastAsia" w:hAnsi="宋体"/>
          <w:szCs w:val="21"/>
          <w:u w:val="single"/>
        </w:rPr>
        <w:t xml:space="preserve">       </w:t>
      </w:r>
    </w:p>
    <w:tbl>
      <w:tblPr>
        <w:tblStyle w:val="26"/>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2674"/>
        <w:gridCol w:w="2683"/>
        <w:gridCol w:w="99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4" w:type="dxa"/>
            <w:noWrap w:val="0"/>
            <w:vAlign w:val="center"/>
          </w:tcPr>
          <w:p>
            <w:pPr>
              <w:jc w:val="center"/>
              <w:rPr>
                <w:rFonts w:hint="eastAsia" w:ascii="宋体" w:hAnsi="宋体"/>
                <w:szCs w:val="21"/>
              </w:rPr>
            </w:pPr>
            <w:r>
              <w:rPr>
                <w:rFonts w:hint="eastAsia" w:ascii="宋体" w:hAnsi="宋体"/>
                <w:szCs w:val="21"/>
              </w:rPr>
              <w:t>序号</w:t>
            </w:r>
          </w:p>
        </w:tc>
        <w:tc>
          <w:tcPr>
            <w:tcW w:w="1275" w:type="dxa"/>
            <w:noWrap w:val="0"/>
            <w:vAlign w:val="center"/>
          </w:tcPr>
          <w:p>
            <w:pPr>
              <w:jc w:val="center"/>
              <w:rPr>
                <w:rFonts w:hint="eastAsia" w:ascii="宋体" w:hAnsi="宋体"/>
                <w:szCs w:val="21"/>
              </w:rPr>
            </w:pPr>
            <w:r>
              <w:rPr>
                <w:rFonts w:hint="eastAsia" w:ascii="宋体" w:hAnsi="宋体"/>
                <w:szCs w:val="21"/>
              </w:rPr>
              <w:t>磋商文件条目号</w:t>
            </w:r>
          </w:p>
        </w:tc>
        <w:tc>
          <w:tcPr>
            <w:tcW w:w="2674" w:type="dxa"/>
            <w:noWrap w:val="0"/>
            <w:vAlign w:val="center"/>
          </w:tcPr>
          <w:p>
            <w:pPr>
              <w:jc w:val="center"/>
              <w:rPr>
                <w:rFonts w:hint="eastAsia" w:ascii="宋体" w:hAnsi="宋体"/>
                <w:szCs w:val="21"/>
              </w:rPr>
            </w:pPr>
            <w:r>
              <w:rPr>
                <w:rFonts w:hint="eastAsia" w:ascii="宋体" w:hAnsi="宋体"/>
                <w:szCs w:val="21"/>
              </w:rPr>
              <w:t>磋商文件商务条款</w:t>
            </w:r>
          </w:p>
          <w:p>
            <w:pPr>
              <w:jc w:val="center"/>
              <w:rPr>
                <w:rFonts w:hint="eastAsia" w:ascii="宋体" w:hAnsi="宋体"/>
                <w:b/>
                <w:szCs w:val="21"/>
              </w:rPr>
            </w:pPr>
            <w:r>
              <w:rPr>
                <w:rFonts w:hint="eastAsia" w:ascii="宋体" w:hAnsi="宋体"/>
                <w:b/>
                <w:szCs w:val="21"/>
              </w:rPr>
              <w:t>（按第二章项目要求 四、商务要求内容逐条填写）</w:t>
            </w:r>
          </w:p>
        </w:tc>
        <w:tc>
          <w:tcPr>
            <w:tcW w:w="2683" w:type="dxa"/>
            <w:noWrap w:val="0"/>
            <w:vAlign w:val="center"/>
          </w:tcPr>
          <w:p>
            <w:pPr>
              <w:jc w:val="center"/>
              <w:rPr>
                <w:rFonts w:hint="eastAsia" w:ascii="宋体" w:hAnsi="宋体"/>
                <w:szCs w:val="21"/>
              </w:rPr>
            </w:pPr>
            <w:r>
              <w:rPr>
                <w:rFonts w:hint="eastAsia" w:ascii="宋体" w:hAnsi="宋体"/>
                <w:szCs w:val="21"/>
              </w:rPr>
              <w:t>磋商应答情况</w:t>
            </w:r>
          </w:p>
          <w:p>
            <w:pPr>
              <w:jc w:val="center"/>
              <w:rPr>
                <w:rFonts w:hint="eastAsia" w:ascii="宋体" w:hAnsi="宋体"/>
                <w:b/>
                <w:szCs w:val="21"/>
              </w:rPr>
            </w:pPr>
            <w:r>
              <w:rPr>
                <w:rFonts w:hint="eastAsia" w:ascii="宋体" w:hAnsi="宋体"/>
                <w:b/>
                <w:szCs w:val="21"/>
              </w:rPr>
              <w:t>（详细填写应答响应内容）</w:t>
            </w:r>
          </w:p>
        </w:tc>
        <w:tc>
          <w:tcPr>
            <w:tcW w:w="992" w:type="dxa"/>
            <w:noWrap w:val="0"/>
            <w:vAlign w:val="center"/>
          </w:tcPr>
          <w:p>
            <w:pPr>
              <w:jc w:val="center"/>
              <w:rPr>
                <w:rFonts w:hint="eastAsia" w:ascii="宋体" w:hAnsi="宋体"/>
                <w:szCs w:val="21"/>
              </w:rPr>
            </w:pPr>
            <w:r>
              <w:rPr>
                <w:rFonts w:hint="eastAsia" w:ascii="宋体" w:hAnsi="宋体"/>
                <w:szCs w:val="21"/>
              </w:rPr>
              <w:t>满足</w:t>
            </w:r>
          </w:p>
          <w:p>
            <w:pPr>
              <w:jc w:val="center"/>
              <w:rPr>
                <w:rFonts w:hint="eastAsia" w:ascii="宋体" w:hAnsi="宋体"/>
                <w:szCs w:val="21"/>
              </w:rPr>
            </w:pPr>
            <w:r>
              <w:rPr>
                <w:rFonts w:hint="eastAsia" w:ascii="宋体" w:hAnsi="宋体"/>
                <w:szCs w:val="21"/>
              </w:rPr>
              <w:t>与否</w:t>
            </w:r>
          </w:p>
        </w:tc>
        <w:tc>
          <w:tcPr>
            <w:tcW w:w="1200" w:type="dxa"/>
            <w:noWrap w:val="0"/>
            <w:vAlign w:val="center"/>
          </w:tcPr>
          <w:p>
            <w:pPr>
              <w:jc w:val="center"/>
              <w:rPr>
                <w:rFonts w:hint="eastAsia"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4"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275" w:type="dxa"/>
            <w:noWrap w:val="0"/>
            <w:vAlign w:val="center"/>
          </w:tcPr>
          <w:p>
            <w:pPr>
              <w:spacing w:line="360" w:lineRule="auto"/>
              <w:jc w:val="center"/>
              <w:rPr>
                <w:rFonts w:hint="eastAsia" w:ascii="宋体" w:hAnsi="宋体"/>
                <w:szCs w:val="21"/>
                <w:highlight w:val="yellow"/>
              </w:rPr>
            </w:pPr>
            <w:r>
              <w:rPr>
                <w:rFonts w:hint="eastAsia" w:ascii="宋体" w:hAnsi="宋体"/>
                <w:szCs w:val="21"/>
              </w:rPr>
              <w:t>四、（一）</w:t>
            </w:r>
          </w:p>
        </w:tc>
        <w:tc>
          <w:tcPr>
            <w:tcW w:w="2674" w:type="dxa"/>
            <w:noWrap w:val="0"/>
            <w:vAlign w:val="center"/>
          </w:tcPr>
          <w:p>
            <w:pPr>
              <w:rPr>
                <w:rFonts w:hint="eastAsia" w:ascii="宋体" w:hAnsi="宋体"/>
                <w:szCs w:val="21"/>
              </w:rPr>
            </w:pPr>
            <w:r>
              <w:rPr>
                <w:rFonts w:hint="eastAsia" w:ascii="宋体" w:hAnsi="宋体"/>
                <w:szCs w:val="21"/>
              </w:rPr>
              <w:t>★1.服务期限：2024年4月1日至2024年12月31日，共计9个月。</w:t>
            </w:r>
          </w:p>
        </w:tc>
        <w:tc>
          <w:tcPr>
            <w:tcW w:w="2683" w:type="dxa"/>
            <w:noWrap w:val="0"/>
            <w:vAlign w:val="center"/>
          </w:tcPr>
          <w:p>
            <w:pPr>
              <w:rPr>
                <w:rFonts w:hint="eastAsia" w:hAnsi="宋体"/>
              </w:rPr>
            </w:pPr>
            <w:r>
              <w:rPr>
                <w:rFonts w:hint="eastAsia" w:ascii="宋体" w:hAnsi="宋体"/>
                <w:szCs w:val="21"/>
              </w:rPr>
              <w:t>★1.服务期限：2024年4月1日至2024年12月31日，共计9个月。</w:t>
            </w:r>
          </w:p>
        </w:tc>
        <w:tc>
          <w:tcPr>
            <w:tcW w:w="992" w:type="dxa"/>
            <w:noWrap w:val="0"/>
            <w:vAlign w:val="center"/>
          </w:tcPr>
          <w:p>
            <w:pPr>
              <w:jc w:val="center"/>
              <w:rPr>
                <w:rFonts w:ascii="宋体" w:hAnsi="宋体"/>
                <w:szCs w:val="21"/>
              </w:rPr>
            </w:pPr>
            <w:r>
              <w:rPr>
                <w:rFonts w:hint="eastAsia" w:ascii="宋体" w:hAnsi="宋体"/>
                <w:szCs w:val="21"/>
              </w:rPr>
              <w:t>满足</w:t>
            </w:r>
          </w:p>
        </w:tc>
        <w:tc>
          <w:tcPr>
            <w:tcW w:w="1200"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4"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1275" w:type="dxa"/>
            <w:noWrap w:val="0"/>
            <w:vAlign w:val="center"/>
          </w:tcPr>
          <w:p>
            <w:pPr>
              <w:spacing w:line="360" w:lineRule="auto"/>
              <w:jc w:val="center"/>
              <w:rPr>
                <w:rFonts w:hint="eastAsia" w:ascii="宋体" w:hAnsi="宋体"/>
                <w:szCs w:val="21"/>
                <w:highlight w:val="yellow"/>
              </w:rPr>
            </w:pPr>
            <w:r>
              <w:rPr>
                <w:rFonts w:hint="eastAsia" w:ascii="宋体" w:hAnsi="宋体"/>
                <w:szCs w:val="21"/>
              </w:rPr>
              <w:t>四、（一）</w:t>
            </w:r>
          </w:p>
        </w:tc>
        <w:tc>
          <w:tcPr>
            <w:tcW w:w="2674" w:type="dxa"/>
            <w:noWrap w:val="0"/>
            <w:vAlign w:val="center"/>
          </w:tcPr>
          <w:p>
            <w:pPr>
              <w:rPr>
                <w:rFonts w:hint="eastAsia" w:ascii="宋体" w:hAnsi="宋体"/>
                <w:szCs w:val="21"/>
              </w:rPr>
            </w:pPr>
            <w:r>
              <w:rPr>
                <w:rFonts w:hint="eastAsia" w:ascii="宋体" w:hAnsi="宋体"/>
                <w:szCs w:val="21"/>
              </w:rPr>
              <w:t>2.服务地点：工作地点主要设在蜜园路办税服务厅自助代开发票办税区，自助办税终端若放置在其他地区的，驻场服务人员需同样进行维护服务。</w:t>
            </w:r>
          </w:p>
        </w:tc>
        <w:tc>
          <w:tcPr>
            <w:tcW w:w="2683" w:type="dxa"/>
            <w:noWrap w:val="0"/>
            <w:vAlign w:val="center"/>
          </w:tcPr>
          <w:p>
            <w:pPr>
              <w:rPr>
                <w:rFonts w:hint="eastAsia" w:hAnsi="宋体"/>
              </w:rPr>
            </w:pPr>
            <w:r>
              <w:rPr>
                <w:rFonts w:hint="eastAsia" w:ascii="宋体" w:hAnsi="宋体"/>
                <w:szCs w:val="21"/>
              </w:rPr>
              <w:t>2.服务地点：工作地点主要设在蜜园路办税服务厅自助代开发票办税区，自助办税终端若放置在其他地区的，驻场服务人员需同样进行维护服务。</w:t>
            </w:r>
          </w:p>
        </w:tc>
        <w:tc>
          <w:tcPr>
            <w:tcW w:w="992" w:type="dxa"/>
            <w:noWrap w:val="0"/>
            <w:vAlign w:val="center"/>
          </w:tcPr>
          <w:p>
            <w:pPr>
              <w:jc w:val="center"/>
              <w:rPr>
                <w:rFonts w:hint="eastAsia" w:ascii="宋体" w:hAnsi="宋体"/>
                <w:szCs w:val="21"/>
                <w:highlight w:val="yellow"/>
              </w:rPr>
            </w:pPr>
            <w:r>
              <w:rPr>
                <w:rFonts w:hint="eastAsia" w:ascii="宋体" w:hAnsi="宋体"/>
                <w:szCs w:val="21"/>
              </w:rPr>
              <w:t>满足</w:t>
            </w:r>
          </w:p>
        </w:tc>
        <w:tc>
          <w:tcPr>
            <w:tcW w:w="1200"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4" w:type="dxa"/>
            <w:noWrap w:val="0"/>
            <w:vAlign w:val="center"/>
          </w:tcPr>
          <w:p>
            <w:pPr>
              <w:spacing w:line="360" w:lineRule="auto"/>
              <w:jc w:val="center"/>
              <w:rPr>
                <w:rFonts w:hint="eastAsia" w:ascii="宋体" w:hAnsi="宋体"/>
                <w:szCs w:val="21"/>
              </w:rPr>
            </w:pPr>
            <w:r>
              <w:rPr>
                <w:rFonts w:hint="eastAsia" w:ascii="宋体" w:hAnsi="宋体"/>
                <w:szCs w:val="21"/>
              </w:rPr>
              <w:t>3</w:t>
            </w:r>
          </w:p>
        </w:tc>
        <w:tc>
          <w:tcPr>
            <w:tcW w:w="1275" w:type="dxa"/>
            <w:noWrap w:val="0"/>
            <w:vAlign w:val="center"/>
          </w:tcPr>
          <w:p>
            <w:pPr>
              <w:spacing w:line="360" w:lineRule="auto"/>
              <w:jc w:val="center"/>
              <w:rPr>
                <w:rFonts w:hint="eastAsia" w:ascii="宋体" w:hAnsi="宋体"/>
                <w:szCs w:val="21"/>
              </w:rPr>
            </w:pPr>
            <w:r>
              <w:rPr>
                <w:rFonts w:hint="eastAsia" w:ascii="宋体" w:hAnsi="宋体"/>
                <w:szCs w:val="21"/>
              </w:rPr>
              <w:t>四、（二）</w:t>
            </w:r>
          </w:p>
        </w:tc>
        <w:tc>
          <w:tcPr>
            <w:tcW w:w="2674" w:type="dxa"/>
            <w:noWrap w:val="0"/>
            <w:vAlign w:val="center"/>
          </w:tcPr>
          <w:p>
            <w:pPr>
              <w:rPr>
                <w:rFonts w:hint="eastAsia"/>
                <w:kern w:val="0"/>
                <w:szCs w:val="21"/>
                <w:lang w:val="zh-CN"/>
              </w:rPr>
            </w:pPr>
            <w:r>
              <w:rPr>
                <w:rFonts w:hint="eastAsia"/>
                <w:kern w:val="0"/>
                <w:szCs w:val="21"/>
                <w:lang w:val="zh-CN"/>
              </w:rPr>
              <w:t>1.付款方式</w:t>
            </w:r>
          </w:p>
          <w:p>
            <w:pPr>
              <w:rPr>
                <w:rFonts w:hint="eastAsia"/>
                <w:kern w:val="0"/>
                <w:szCs w:val="21"/>
                <w:lang w:val="zh-CN"/>
              </w:rPr>
            </w:pPr>
            <w:r>
              <w:rPr>
                <w:rFonts w:hint="eastAsia"/>
                <w:kern w:val="0"/>
                <w:szCs w:val="21"/>
                <w:lang w:val="zh-CN"/>
              </w:rPr>
              <w:t>在乙方完全按照合同条款执行的情况下，甲方在合同有效期内，分三期向乙方支付合同款。款项支付时间：在乙方完全按照合同条款执行的情况下，合同生效之日起一个月后经验收合格支付合同价款的25%，五个月后经验收合格支付合同价款的70%，合同期限届满本月内支付合同款项的5%。在甲方收到乙方开具的发票和收到当季度各种报告后二十个工作日内，甲方按照合同条款向乙方支付合同进度款。</w:t>
            </w:r>
          </w:p>
          <w:p>
            <w:pPr>
              <w:rPr>
                <w:rFonts w:ascii="宋体" w:hAnsi="宋体"/>
                <w:szCs w:val="21"/>
              </w:rPr>
            </w:pPr>
            <w:r>
              <w:rPr>
                <w:rFonts w:hint="eastAsia"/>
                <w:kern w:val="0"/>
                <w:szCs w:val="21"/>
                <w:lang w:val="zh-CN"/>
              </w:rPr>
              <w:t>如当季有违约行为被扣款的，应在当季度应付合同款中扣除，当季应付合同款不足抵扣罚款的，递延下一季度继续抵扣，直至扣完为止。</w:t>
            </w:r>
          </w:p>
        </w:tc>
        <w:tc>
          <w:tcPr>
            <w:tcW w:w="2683" w:type="dxa"/>
            <w:noWrap w:val="0"/>
            <w:vAlign w:val="center"/>
          </w:tcPr>
          <w:p>
            <w:pPr>
              <w:rPr>
                <w:rFonts w:hint="eastAsia"/>
                <w:kern w:val="0"/>
                <w:szCs w:val="21"/>
                <w:lang w:val="zh-CN"/>
              </w:rPr>
            </w:pPr>
            <w:r>
              <w:rPr>
                <w:rFonts w:hint="eastAsia"/>
                <w:kern w:val="0"/>
                <w:szCs w:val="21"/>
                <w:lang w:val="zh-CN"/>
              </w:rPr>
              <w:t>1.付款方式</w:t>
            </w:r>
          </w:p>
          <w:p>
            <w:pPr>
              <w:rPr>
                <w:rFonts w:hint="eastAsia"/>
                <w:kern w:val="0"/>
                <w:szCs w:val="21"/>
                <w:lang w:val="zh-CN"/>
              </w:rPr>
            </w:pPr>
            <w:r>
              <w:rPr>
                <w:rFonts w:hint="eastAsia"/>
                <w:kern w:val="0"/>
                <w:szCs w:val="21"/>
                <w:lang w:val="zh-CN"/>
              </w:rPr>
              <w:t>在乙方完全按照合同条款执行的情况下，甲方在合同有效期内，分三期向乙方支付合同款。款项支付时间：在乙方完全按照合同条款执行的情况下，合同生效之日起一个月后经验收合格支付合同价款的25%，五个月后经验收合格支付合同价款的70%，合同期限届满本月内支付合同款项的5%。在甲方收到乙方开具的发票和收到当季度各种报告后二十个工作日内，甲方按照合同条款向乙方支付合同进度款。</w:t>
            </w:r>
          </w:p>
          <w:p>
            <w:pPr>
              <w:rPr>
                <w:rFonts w:ascii="宋体" w:hAnsi="宋体"/>
                <w:szCs w:val="21"/>
              </w:rPr>
            </w:pPr>
            <w:r>
              <w:rPr>
                <w:rFonts w:hint="eastAsia"/>
                <w:kern w:val="0"/>
                <w:szCs w:val="21"/>
                <w:lang w:val="zh-CN"/>
              </w:rPr>
              <w:t>如当季有违约行为被扣款的，应在当季度应付合同款中扣除，当季应付合同款不足抵扣罚款的，递延下一季度继续抵扣，直至扣完为止。</w:t>
            </w:r>
          </w:p>
        </w:tc>
        <w:tc>
          <w:tcPr>
            <w:tcW w:w="992" w:type="dxa"/>
            <w:noWrap w:val="0"/>
            <w:vAlign w:val="center"/>
          </w:tcPr>
          <w:p>
            <w:pPr>
              <w:jc w:val="center"/>
              <w:rPr>
                <w:rFonts w:hint="eastAsia" w:ascii="宋体" w:hAnsi="宋体"/>
                <w:szCs w:val="21"/>
              </w:rPr>
            </w:pPr>
            <w:r>
              <w:rPr>
                <w:rFonts w:ascii="宋体" w:hAnsi="宋体"/>
                <w:szCs w:val="21"/>
              </w:rPr>
              <w:t>……</w:t>
            </w:r>
          </w:p>
        </w:tc>
        <w:tc>
          <w:tcPr>
            <w:tcW w:w="120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4"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1275" w:type="dxa"/>
            <w:noWrap w:val="0"/>
            <w:vAlign w:val="center"/>
          </w:tcPr>
          <w:p>
            <w:pPr>
              <w:spacing w:line="360" w:lineRule="auto"/>
              <w:jc w:val="center"/>
              <w:rPr>
                <w:rFonts w:hint="eastAsia" w:ascii="宋体" w:hAnsi="宋体"/>
                <w:szCs w:val="21"/>
              </w:rPr>
            </w:pPr>
            <w:r>
              <w:rPr>
                <w:rFonts w:hint="eastAsia" w:ascii="宋体" w:hAnsi="宋体"/>
                <w:szCs w:val="21"/>
              </w:rPr>
              <w:t>四、（二）</w:t>
            </w:r>
          </w:p>
        </w:tc>
        <w:tc>
          <w:tcPr>
            <w:tcW w:w="2674" w:type="dxa"/>
            <w:noWrap w:val="0"/>
            <w:vAlign w:val="center"/>
          </w:tcPr>
          <w:p>
            <w:pPr>
              <w:rPr>
                <w:rFonts w:ascii="宋体" w:hAnsi="宋体"/>
                <w:szCs w:val="21"/>
              </w:rPr>
            </w:pPr>
            <w:r>
              <w:rPr>
                <w:rFonts w:ascii="宋体" w:hAnsi="宋体"/>
                <w:szCs w:val="21"/>
              </w:rPr>
              <w:t>……</w:t>
            </w:r>
          </w:p>
        </w:tc>
        <w:tc>
          <w:tcPr>
            <w:tcW w:w="2683" w:type="dxa"/>
            <w:noWrap w:val="0"/>
            <w:vAlign w:val="center"/>
          </w:tcPr>
          <w:p>
            <w:pPr>
              <w:rPr>
                <w:rFonts w:ascii="宋体" w:hAnsi="宋体"/>
                <w:szCs w:val="21"/>
              </w:rPr>
            </w:pPr>
            <w:r>
              <w:rPr>
                <w:rFonts w:ascii="宋体" w:hAnsi="宋体"/>
                <w:szCs w:val="21"/>
              </w:rPr>
              <w:t>……</w:t>
            </w:r>
          </w:p>
        </w:tc>
        <w:tc>
          <w:tcPr>
            <w:tcW w:w="992" w:type="dxa"/>
            <w:noWrap w:val="0"/>
            <w:vAlign w:val="center"/>
          </w:tcPr>
          <w:p>
            <w:pPr>
              <w:jc w:val="center"/>
              <w:rPr>
                <w:rFonts w:hint="eastAsia" w:ascii="宋体" w:hAnsi="宋体"/>
                <w:szCs w:val="21"/>
              </w:rPr>
            </w:pPr>
            <w:r>
              <w:rPr>
                <w:rFonts w:ascii="宋体" w:hAnsi="宋体"/>
                <w:szCs w:val="21"/>
              </w:rPr>
              <w:t>……</w:t>
            </w:r>
          </w:p>
        </w:tc>
        <w:tc>
          <w:tcPr>
            <w:tcW w:w="120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4" w:type="dxa"/>
            <w:noWrap w:val="0"/>
            <w:vAlign w:val="center"/>
          </w:tcPr>
          <w:p>
            <w:pPr>
              <w:spacing w:line="360" w:lineRule="auto"/>
              <w:jc w:val="center"/>
              <w:rPr>
                <w:rFonts w:hint="eastAsia" w:ascii="宋体" w:hAnsi="宋体"/>
                <w:szCs w:val="21"/>
              </w:rPr>
            </w:pPr>
            <w:r>
              <w:rPr>
                <w:rFonts w:hint="eastAsia" w:ascii="宋体" w:hAnsi="宋体"/>
                <w:szCs w:val="21"/>
              </w:rPr>
              <w:t>5</w:t>
            </w:r>
          </w:p>
        </w:tc>
        <w:tc>
          <w:tcPr>
            <w:tcW w:w="1275" w:type="dxa"/>
            <w:noWrap w:val="0"/>
            <w:vAlign w:val="center"/>
          </w:tcPr>
          <w:p>
            <w:pPr>
              <w:spacing w:line="360" w:lineRule="auto"/>
              <w:jc w:val="center"/>
              <w:rPr>
                <w:rFonts w:hint="eastAsia" w:ascii="宋体" w:hAnsi="宋体"/>
                <w:szCs w:val="21"/>
              </w:rPr>
            </w:pPr>
            <w:r>
              <w:rPr>
                <w:rFonts w:hint="eastAsia" w:ascii="宋体" w:hAnsi="宋体"/>
                <w:szCs w:val="21"/>
              </w:rPr>
              <w:t>四、（二）</w:t>
            </w:r>
          </w:p>
        </w:tc>
        <w:tc>
          <w:tcPr>
            <w:tcW w:w="2674" w:type="dxa"/>
            <w:noWrap w:val="0"/>
            <w:vAlign w:val="center"/>
          </w:tcPr>
          <w:p>
            <w:pPr>
              <w:rPr>
                <w:rFonts w:ascii="宋体" w:hAnsi="宋体"/>
                <w:szCs w:val="21"/>
              </w:rPr>
            </w:pPr>
            <w:r>
              <w:rPr>
                <w:rFonts w:ascii="宋体" w:hAnsi="宋体"/>
                <w:szCs w:val="21"/>
              </w:rPr>
              <w:t>……</w:t>
            </w:r>
          </w:p>
        </w:tc>
        <w:tc>
          <w:tcPr>
            <w:tcW w:w="2683" w:type="dxa"/>
            <w:noWrap w:val="0"/>
            <w:vAlign w:val="center"/>
          </w:tcPr>
          <w:p>
            <w:pPr>
              <w:rPr>
                <w:rFonts w:ascii="宋体" w:hAnsi="宋体"/>
                <w:szCs w:val="21"/>
              </w:rPr>
            </w:pPr>
            <w:r>
              <w:rPr>
                <w:rFonts w:ascii="宋体" w:hAnsi="宋体"/>
                <w:szCs w:val="21"/>
              </w:rPr>
              <w:t>……</w:t>
            </w:r>
          </w:p>
        </w:tc>
        <w:tc>
          <w:tcPr>
            <w:tcW w:w="992" w:type="dxa"/>
            <w:noWrap w:val="0"/>
            <w:vAlign w:val="center"/>
          </w:tcPr>
          <w:p>
            <w:pPr>
              <w:jc w:val="center"/>
              <w:rPr>
                <w:rFonts w:hint="eastAsia" w:ascii="宋体" w:hAnsi="宋体"/>
                <w:szCs w:val="21"/>
              </w:rPr>
            </w:pPr>
            <w:r>
              <w:rPr>
                <w:rFonts w:ascii="宋体" w:hAnsi="宋体"/>
                <w:szCs w:val="21"/>
              </w:rPr>
              <w:t>……</w:t>
            </w:r>
          </w:p>
        </w:tc>
        <w:tc>
          <w:tcPr>
            <w:tcW w:w="120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4" w:type="dxa"/>
            <w:noWrap w:val="0"/>
            <w:vAlign w:val="center"/>
          </w:tcPr>
          <w:p>
            <w:pPr>
              <w:spacing w:line="360" w:lineRule="auto"/>
              <w:jc w:val="center"/>
              <w:rPr>
                <w:rFonts w:hint="eastAsia" w:ascii="宋体" w:hAnsi="宋体"/>
                <w:szCs w:val="21"/>
              </w:rPr>
            </w:pPr>
          </w:p>
        </w:tc>
        <w:tc>
          <w:tcPr>
            <w:tcW w:w="1275" w:type="dxa"/>
            <w:noWrap w:val="0"/>
            <w:vAlign w:val="center"/>
          </w:tcPr>
          <w:p>
            <w:pPr>
              <w:spacing w:line="360" w:lineRule="auto"/>
              <w:jc w:val="center"/>
              <w:rPr>
                <w:rFonts w:hint="eastAsia" w:ascii="宋体" w:hAnsi="宋体"/>
                <w:szCs w:val="21"/>
              </w:rPr>
            </w:pPr>
          </w:p>
        </w:tc>
        <w:tc>
          <w:tcPr>
            <w:tcW w:w="2674" w:type="dxa"/>
            <w:noWrap w:val="0"/>
            <w:vAlign w:val="center"/>
          </w:tcPr>
          <w:p>
            <w:pPr>
              <w:rPr>
                <w:rFonts w:ascii="宋体" w:hAnsi="宋体"/>
                <w:szCs w:val="21"/>
              </w:rPr>
            </w:pPr>
          </w:p>
        </w:tc>
        <w:tc>
          <w:tcPr>
            <w:tcW w:w="2683" w:type="dxa"/>
            <w:noWrap w:val="0"/>
            <w:vAlign w:val="center"/>
          </w:tcPr>
          <w:p>
            <w:pPr>
              <w:rPr>
                <w:rFonts w:hAnsi="宋体"/>
              </w:rPr>
            </w:pPr>
          </w:p>
        </w:tc>
        <w:tc>
          <w:tcPr>
            <w:tcW w:w="992" w:type="dxa"/>
            <w:noWrap w:val="0"/>
            <w:vAlign w:val="center"/>
          </w:tcPr>
          <w:p>
            <w:pPr>
              <w:jc w:val="center"/>
              <w:rPr>
                <w:rFonts w:hint="eastAsia" w:ascii="宋体" w:hAnsi="宋体"/>
                <w:szCs w:val="21"/>
              </w:rPr>
            </w:pPr>
          </w:p>
        </w:tc>
        <w:tc>
          <w:tcPr>
            <w:tcW w:w="1200" w:type="dxa"/>
            <w:noWrap w:val="0"/>
            <w:vAlign w:val="center"/>
          </w:tcPr>
          <w:p>
            <w:pPr>
              <w:spacing w:line="360" w:lineRule="auto"/>
              <w:jc w:val="center"/>
              <w:rPr>
                <w:rFonts w:hint="eastAsia" w:ascii="宋体" w:hAnsi="宋体"/>
                <w:szCs w:val="21"/>
              </w:rPr>
            </w:pPr>
          </w:p>
        </w:tc>
      </w:tr>
    </w:tbl>
    <w:p>
      <w:pPr>
        <w:spacing w:line="360" w:lineRule="auto"/>
        <w:rPr>
          <w:rFonts w:hint="eastAsia" w:ascii="宋体" w:hAnsi="宋体"/>
          <w:szCs w:val="21"/>
        </w:rPr>
      </w:pPr>
      <w:r>
        <w:rPr>
          <w:rFonts w:hint="eastAsia" w:ascii="宋体" w:hAnsi="宋体"/>
          <w:szCs w:val="21"/>
        </w:rPr>
        <w:t>说明：“磋商文件条目号”应对应《竞争性磋商文件》第二章 四、商务要求的具体条款序号填写，上表列出的条目号仅为告知供应商“磋商文件条目号”样式。</w:t>
      </w:r>
      <w:r>
        <w:rPr>
          <w:rFonts w:hint="eastAsia" w:hAnsi="宋体"/>
          <w:b/>
          <w:szCs w:val="21"/>
        </w:rPr>
        <w:t>如有说明（或证明材料）可在“说明”栏中填写。</w:t>
      </w:r>
    </w:p>
    <w:p>
      <w:pPr>
        <w:spacing w:line="360" w:lineRule="auto"/>
        <w:rPr>
          <w:rFonts w:hint="eastAsia" w:ascii="宋体" w:hAnsi="宋体"/>
          <w:szCs w:val="21"/>
        </w:rPr>
      </w:pPr>
      <w:r>
        <w:rPr>
          <w:rFonts w:hint="eastAsia" w:ascii="宋体" w:hAnsi="宋体"/>
          <w:szCs w:val="21"/>
        </w:rPr>
        <w:t>磋商应答文件中对标注（"★"）号的重要条款不响应或任何的不满足（负偏离），将导致磋商应答文件无效。</w:t>
      </w:r>
    </w:p>
    <w:p>
      <w:pPr>
        <w:spacing w:line="360" w:lineRule="auto"/>
        <w:rPr>
          <w:rFonts w:hint="eastAsia" w:ascii="宋体" w:hAnsi="宋体"/>
          <w:szCs w:val="21"/>
        </w:rPr>
      </w:pPr>
    </w:p>
    <w:p>
      <w:pPr>
        <w:spacing w:line="360" w:lineRule="auto"/>
        <w:rPr>
          <w:rFonts w:hint="eastAsia" w:ascii="宋体" w:hAnsi="宋体"/>
          <w:szCs w:val="21"/>
          <w:u w:val="single"/>
        </w:rPr>
      </w:pPr>
      <w:r>
        <w:rPr>
          <w:rFonts w:hint="eastAsia" w:ascii="宋体" w:hAnsi="宋体"/>
          <w:szCs w:val="21"/>
        </w:rPr>
        <w:t>供应商代表（签字）：</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单位盖章（公章）：</w:t>
      </w:r>
      <w:r>
        <w:rPr>
          <w:rFonts w:hint="eastAsia" w:ascii="宋体" w:hAnsi="宋体"/>
          <w:szCs w:val="21"/>
          <w:u w:val="single"/>
        </w:rPr>
        <w:t xml:space="preserve">                              </w:t>
      </w:r>
    </w:p>
    <w:p>
      <w:pPr>
        <w:spacing w:line="360" w:lineRule="auto"/>
        <w:rPr>
          <w:rFonts w:hint="eastAsia"/>
          <w:color w:val="FF0000"/>
        </w:rPr>
      </w:pPr>
    </w:p>
    <w:p>
      <w:pPr>
        <w:pStyle w:val="4"/>
        <w:snapToGrid w:val="0"/>
        <w:spacing w:before="0" w:after="0" w:line="360" w:lineRule="auto"/>
        <w:jc w:val="center"/>
        <w:rPr>
          <w:rFonts w:hint="eastAsia" w:ascii="黑体" w:hAnsi="黑体" w:eastAsia="黑体"/>
          <w:b w:val="0"/>
        </w:rPr>
      </w:pPr>
      <w:bookmarkStart w:id="61" w:name="_Toc21441162"/>
      <w:r>
        <w:rPr>
          <w:rFonts w:ascii="黑体" w:hAnsi="黑体" w:eastAsia="黑体"/>
          <w:b w:val="0"/>
          <w:color w:val="FF0000"/>
        </w:rPr>
        <w:br w:type="page"/>
      </w:r>
      <w:bookmarkStart w:id="62" w:name="_Toc161306888"/>
      <w:r>
        <w:rPr>
          <w:rFonts w:hint="eastAsia" w:ascii="黑体" w:hAnsi="黑体" w:eastAsia="黑体"/>
          <w:b w:val="0"/>
        </w:rPr>
        <w:t>6、</w:t>
      </w:r>
      <w:r>
        <w:rPr>
          <w:rFonts w:hint="eastAsia" w:ascii="黑体" w:hAnsi="黑体" w:eastAsia="黑体"/>
        </w:rPr>
        <w:t>技术条款对照说明表</w:t>
      </w:r>
      <w:bookmarkEnd w:id="61"/>
      <w:bookmarkEnd w:id="62"/>
    </w:p>
    <w:p>
      <w:pPr>
        <w:spacing w:line="360" w:lineRule="auto"/>
        <w:rPr>
          <w:rFonts w:hint="eastAsia" w:ascii="宋体" w:hAnsi="宋体"/>
          <w:szCs w:val="21"/>
          <w:u w:val="single"/>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 xml:space="preserve">                     </w:t>
      </w:r>
      <w:r>
        <w:rPr>
          <w:rFonts w:hint="eastAsia" w:hAnsi="宋体"/>
          <w:szCs w:val="21"/>
        </w:rPr>
        <w:t>项目</w:t>
      </w:r>
      <w:r>
        <w:rPr>
          <w:rFonts w:hAnsi="宋体"/>
          <w:szCs w:val="21"/>
        </w:rPr>
        <w:t>编号</w:t>
      </w:r>
      <w:r>
        <w:rPr>
          <w:rFonts w:hAnsi="宋体"/>
          <w:szCs w:val="21"/>
          <w:u w:val="single"/>
        </w:rPr>
        <w:t xml:space="preserve">           </w:t>
      </w:r>
      <w:r>
        <w:rPr>
          <w:rFonts w:hint="eastAsia" w:hAnsi="宋体"/>
          <w:szCs w:val="21"/>
          <w:u w:val="single"/>
        </w:rPr>
        <w:t xml:space="preserve">      </w:t>
      </w:r>
    </w:p>
    <w:tbl>
      <w:tblPr>
        <w:tblStyle w:val="2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276"/>
        <w:gridCol w:w="2445"/>
        <w:gridCol w:w="2537"/>
        <w:gridCol w:w="8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2" w:type="dxa"/>
            <w:noWrap w:val="0"/>
            <w:vAlign w:val="center"/>
          </w:tcPr>
          <w:p>
            <w:pPr>
              <w:jc w:val="center"/>
              <w:rPr>
                <w:rFonts w:hint="eastAsia" w:ascii="宋体" w:hAnsi="宋体"/>
                <w:szCs w:val="21"/>
              </w:rPr>
            </w:pPr>
            <w:r>
              <w:rPr>
                <w:rFonts w:hint="eastAsia" w:ascii="宋体" w:hAnsi="宋体"/>
                <w:szCs w:val="21"/>
              </w:rPr>
              <w:t>序号</w:t>
            </w:r>
          </w:p>
        </w:tc>
        <w:tc>
          <w:tcPr>
            <w:tcW w:w="1276" w:type="dxa"/>
            <w:noWrap w:val="0"/>
            <w:vAlign w:val="center"/>
          </w:tcPr>
          <w:p>
            <w:pPr>
              <w:jc w:val="center"/>
              <w:rPr>
                <w:rFonts w:hint="eastAsia" w:ascii="宋体" w:hAnsi="宋体"/>
                <w:szCs w:val="21"/>
              </w:rPr>
            </w:pPr>
            <w:r>
              <w:rPr>
                <w:rFonts w:hint="eastAsia" w:ascii="宋体" w:hAnsi="宋体"/>
                <w:szCs w:val="21"/>
              </w:rPr>
              <w:t>磋商文件</w:t>
            </w:r>
          </w:p>
          <w:p>
            <w:pPr>
              <w:jc w:val="center"/>
              <w:rPr>
                <w:rFonts w:hint="eastAsia" w:ascii="宋体" w:hAnsi="宋体"/>
                <w:szCs w:val="21"/>
              </w:rPr>
            </w:pPr>
            <w:r>
              <w:rPr>
                <w:rFonts w:hint="eastAsia" w:ascii="宋体" w:hAnsi="宋体"/>
                <w:szCs w:val="21"/>
              </w:rPr>
              <w:t>条目号</w:t>
            </w:r>
          </w:p>
        </w:tc>
        <w:tc>
          <w:tcPr>
            <w:tcW w:w="2445" w:type="dxa"/>
            <w:noWrap w:val="0"/>
            <w:vAlign w:val="center"/>
          </w:tcPr>
          <w:p>
            <w:pPr>
              <w:jc w:val="center"/>
              <w:rPr>
                <w:rFonts w:hint="eastAsia" w:ascii="宋体" w:hAnsi="宋体"/>
                <w:szCs w:val="21"/>
              </w:rPr>
            </w:pPr>
            <w:r>
              <w:rPr>
                <w:rFonts w:hint="eastAsia" w:ascii="宋体" w:hAnsi="宋体"/>
                <w:szCs w:val="21"/>
              </w:rPr>
              <w:t>磋商文件技术要求</w:t>
            </w:r>
          </w:p>
          <w:p>
            <w:pPr>
              <w:jc w:val="center"/>
              <w:rPr>
                <w:rFonts w:hint="eastAsia" w:ascii="宋体" w:hAnsi="宋体"/>
                <w:b/>
                <w:szCs w:val="21"/>
              </w:rPr>
            </w:pPr>
            <w:r>
              <w:rPr>
                <w:rFonts w:hint="eastAsia" w:ascii="宋体" w:hAnsi="宋体"/>
                <w:b/>
                <w:szCs w:val="21"/>
              </w:rPr>
              <w:t>（按第二章 项目要求</w:t>
            </w:r>
          </w:p>
          <w:p>
            <w:pPr>
              <w:jc w:val="center"/>
              <w:rPr>
                <w:rFonts w:hint="eastAsia" w:ascii="宋体" w:hAnsi="宋体"/>
                <w:szCs w:val="21"/>
              </w:rPr>
            </w:pPr>
            <w:r>
              <w:rPr>
                <w:rFonts w:hint="eastAsia" w:ascii="宋体" w:hAnsi="宋体"/>
                <w:b/>
                <w:szCs w:val="21"/>
              </w:rPr>
              <w:t>五、技术（服务）要求 内容逐条填写）</w:t>
            </w:r>
          </w:p>
        </w:tc>
        <w:tc>
          <w:tcPr>
            <w:tcW w:w="2537" w:type="dxa"/>
            <w:noWrap w:val="0"/>
            <w:vAlign w:val="center"/>
          </w:tcPr>
          <w:p>
            <w:pPr>
              <w:jc w:val="center"/>
              <w:rPr>
                <w:rFonts w:hint="eastAsia" w:ascii="宋体" w:hAnsi="宋体"/>
                <w:szCs w:val="21"/>
              </w:rPr>
            </w:pPr>
            <w:r>
              <w:rPr>
                <w:rFonts w:hint="eastAsia" w:ascii="宋体" w:hAnsi="宋体"/>
                <w:szCs w:val="21"/>
              </w:rPr>
              <w:t>磋商应答情况</w:t>
            </w:r>
          </w:p>
          <w:p>
            <w:pPr>
              <w:jc w:val="center"/>
              <w:rPr>
                <w:rFonts w:hint="eastAsia" w:ascii="宋体" w:hAnsi="宋体"/>
                <w:b/>
                <w:szCs w:val="21"/>
              </w:rPr>
            </w:pPr>
            <w:r>
              <w:rPr>
                <w:rFonts w:hint="eastAsia" w:ascii="宋体" w:hAnsi="宋体"/>
                <w:b/>
                <w:szCs w:val="21"/>
              </w:rPr>
              <w:t>（详细填写应答响应内容）</w:t>
            </w:r>
          </w:p>
        </w:tc>
        <w:tc>
          <w:tcPr>
            <w:tcW w:w="850" w:type="dxa"/>
            <w:noWrap w:val="0"/>
            <w:vAlign w:val="center"/>
          </w:tcPr>
          <w:p>
            <w:pPr>
              <w:jc w:val="center"/>
              <w:rPr>
                <w:rFonts w:hint="eastAsia" w:ascii="宋体" w:hAnsi="宋体"/>
                <w:szCs w:val="21"/>
              </w:rPr>
            </w:pPr>
            <w:r>
              <w:rPr>
                <w:rFonts w:hint="eastAsia" w:ascii="宋体" w:hAnsi="宋体"/>
                <w:szCs w:val="21"/>
              </w:rPr>
              <w:t>满足</w:t>
            </w:r>
          </w:p>
          <w:p>
            <w:pPr>
              <w:jc w:val="center"/>
              <w:rPr>
                <w:rFonts w:hint="eastAsia" w:ascii="宋体" w:hAnsi="宋体"/>
                <w:szCs w:val="21"/>
              </w:rPr>
            </w:pPr>
            <w:r>
              <w:rPr>
                <w:rFonts w:hint="eastAsia" w:ascii="宋体" w:hAnsi="宋体"/>
                <w:szCs w:val="21"/>
              </w:rPr>
              <w:t>与否</w:t>
            </w:r>
          </w:p>
        </w:tc>
        <w:tc>
          <w:tcPr>
            <w:tcW w:w="1560" w:type="dxa"/>
            <w:noWrap w:val="0"/>
            <w:vAlign w:val="center"/>
          </w:tcPr>
          <w:p>
            <w:pPr>
              <w:jc w:val="center"/>
              <w:rPr>
                <w:rFonts w:hint="eastAsia"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392"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276" w:type="dxa"/>
            <w:noWrap w:val="0"/>
            <w:vAlign w:val="center"/>
          </w:tcPr>
          <w:p>
            <w:pPr>
              <w:spacing w:line="360" w:lineRule="auto"/>
              <w:rPr>
                <w:rFonts w:hint="eastAsia" w:ascii="宋体" w:hAnsi="宋体"/>
                <w:szCs w:val="21"/>
              </w:rPr>
            </w:pPr>
            <w:r>
              <w:rPr>
                <w:rFonts w:hint="eastAsia" w:ascii="宋体" w:hAnsi="宋体"/>
                <w:szCs w:val="21"/>
              </w:rPr>
              <w:t>五（一）</w:t>
            </w:r>
          </w:p>
        </w:tc>
        <w:tc>
          <w:tcPr>
            <w:tcW w:w="2445" w:type="dxa"/>
            <w:noWrap w:val="0"/>
            <w:vAlign w:val="center"/>
          </w:tcPr>
          <w:p>
            <w:pPr>
              <w:rPr>
                <w:rFonts w:hint="eastAsia" w:ascii="宋体" w:hAnsi="宋体" w:cs="仿宋_GB2312"/>
                <w:kern w:val="0"/>
                <w:szCs w:val="21"/>
              </w:rPr>
            </w:pPr>
            <w:r>
              <w:rPr>
                <w:rFonts w:hint="eastAsia" w:ascii="宋体" w:hAnsi="宋体" w:cs="仿宋_GB2312"/>
                <w:kern w:val="0"/>
                <w:szCs w:val="21"/>
              </w:rPr>
              <w:t>（一）服务人员</w:t>
            </w:r>
          </w:p>
          <w:p>
            <w:pPr>
              <w:rPr>
                <w:rFonts w:ascii="宋体" w:hAnsi="宋体"/>
                <w:szCs w:val="21"/>
              </w:rPr>
            </w:pPr>
            <w:r>
              <w:rPr>
                <w:rFonts w:hint="eastAsia" w:ascii="宋体" w:hAnsi="宋体" w:cs="仿宋_GB2312"/>
                <w:kern w:val="0"/>
                <w:szCs w:val="21"/>
              </w:rPr>
              <w:t>目前我局对办税服务厅内自助办税终端铺设位置及使用数量、业务量监测数据综合分析，拟定自助办税服务终端驻场运维服务人员需求人数为2名。</w:t>
            </w:r>
          </w:p>
        </w:tc>
        <w:tc>
          <w:tcPr>
            <w:tcW w:w="2537" w:type="dxa"/>
            <w:noWrap w:val="0"/>
            <w:vAlign w:val="center"/>
          </w:tcPr>
          <w:p>
            <w:pPr>
              <w:rPr>
                <w:rFonts w:hint="eastAsia" w:ascii="宋体" w:hAnsi="宋体" w:cs="仿宋_GB2312"/>
                <w:kern w:val="0"/>
                <w:szCs w:val="21"/>
              </w:rPr>
            </w:pPr>
            <w:r>
              <w:rPr>
                <w:rFonts w:hint="eastAsia" w:ascii="宋体" w:hAnsi="宋体" w:cs="仿宋_GB2312"/>
                <w:kern w:val="0"/>
                <w:szCs w:val="21"/>
              </w:rPr>
              <w:t>（一）服务人员</w:t>
            </w:r>
          </w:p>
          <w:p>
            <w:pPr>
              <w:rPr>
                <w:rFonts w:ascii="宋体" w:hAnsi="宋体"/>
                <w:szCs w:val="21"/>
              </w:rPr>
            </w:pPr>
            <w:r>
              <w:rPr>
                <w:rFonts w:hint="eastAsia" w:ascii="宋体" w:hAnsi="宋体" w:cs="仿宋_GB2312"/>
                <w:kern w:val="0"/>
                <w:szCs w:val="21"/>
              </w:rPr>
              <w:t>目前我局对办税服务厅内自助办税终端铺设位置及使用数量、业务量监测数据综合分析，拟定自助办税服务终端驻场运维服务人员需求人数为2名。</w:t>
            </w:r>
          </w:p>
        </w:tc>
        <w:tc>
          <w:tcPr>
            <w:tcW w:w="850" w:type="dxa"/>
            <w:noWrap w:val="0"/>
            <w:vAlign w:val="center"/>
          </w:tcPr>
          <w:p>
            <w:pPr>
              <w:jc w:val="center"/>
              <w:rPr>
                <w:rFonts w:ascii="宋体" w:hAnsi="宋体"/>
                <w:szCs w:val="21"/>
              </w:rPr>
            </w:pPr>
            <w:r>
              <w:rPr>
                <w:rFonts w:hint="eastAsia" w:ascii="宋体" w:hAnsi="宋体"/>
                <w:szCs w:val="21"/>
              </w:rPr>
              <w:t>满足</w:t>
            </w:r>
          </w:p>
        </w:tc>
        <w:tc>
          <w:tcPr>
            <w:tcW w:w="15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2"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1276" w:type="dxa"/>
            <w:noWrap w:val="0"/>
            <w:vAlign w:val="center"/>
          </w:tcPr>
          <w:p>
            <w:pPr>
              <w:spacing w:line="360" w:lineRule="auto"/>
              <w:rPr>
                <w:rFonts w:ascii="宋体" w:hAnsi="宋体"/>
                <w:szCs w:val="21"/>
              </w:rPr>
            </w:pPr>
            <w:r>
              <w:rPr>
                <w:rFonts w:hint="eastAsia" w:ascii="宋体" w:hAnsi="宋体"/>
                <w:szCs w:val="21"/>
              </w:rPr>
              <w:t>五（二）</w:t>
            </w:r>
          </w:p>
        </w:tc>
        <w:tc>
          <w:tcPr>
            <w:tcW w:w="2445" w:type="dxa"/>
            <w:noWrap w:val="0"/>
            <w:vAlign w:val="top"/>
          </w:tcPr>
          <w:p>
            <w:pPr>
              <w:rPr>
                <w:rFonts w:hint="eastAsia" w:ascii="宋体" w:hAnsi="宋体" w:cs="仿宋_GB2312"/>
                <w:kern w:val="0"/>
                <w:szCs w:val="21"/>
              </w:rPr>
            </w:pPr>
            <w:r>
              <w:rPr>
                <w:rFonts w:hint="eastAsia" w:ascii="宋体" w:hAnsi="宋体" w:cs="仿宋_GB2312"/>
                <w:kern w:val="0"/>
                <w:szCs w:val="21"/>
              </w:rPr>
              <w:t>（二）日常服务时间</w:t>
            </w:r>
          </w:p>
          <w:p>
            <w:pPr>
              <w:rPr>
                <w:rFonts w:hint="eastAsia" w:ascii="宋体" w:hAnsi="宋体"/>
                <w:szCs w:val="21"/>
              </w:rPr>
            </w:pPr>
            <w:r>
              <w:rPr>
                <w:rFonts w:hint="eastAsia" w:ascii="宋体" w:hAnsi="宋体" w:cs="仿宋_GB2312"/>
                <w:kern w:val="0"/>
                <w:szCs w:val="21"/>
              </w:rPr>
              <w:t>驻场服务人员按我局工作时间提供运维服务，即每个工作日上午9：00-12：00，下午14：00-18：00。</w:t>
            </w:r>
          </w:p>
        </w:tc>
        <w:tc>
          <w:tcPr>
            <w:tcW w:w="2537" w:type="dxa"/>
            <w:noWrap w:val="0"/>
            <w:vAlign w:val="top"/>
          </w:tcPr>
          <w:p>
            <w:pPr>
              <w:rPr>
                <w:rFonts w:hint="eastAsia" w:ascii="宋体" w:hAnsi="宋体" w:cs="仿宋_GB2312"/>
                <w:kern w:val="0"/>
                <w:szCs w:val="21"/>
              </w:rPr>
            </w:pPr>
            <w:r>
              <w:rPr>
                <w:rFonts w:hint="eastAsia" w:ascii="宋体" w:hAnsi="宋体" w:cs="仿宋_GB2312"/>
                <w:kern w:val="0"/>
                <w:szCs w:val="21"/>
              </w:rPr>
              <w:t>（二）日常服务时间</w:t>
            </w:r>
          </w:p>
          <w:p>
            <w:pPr>
              <w:rPr>
                <w:rFonts w:hint="eastAsia" w:ascii="宋体" w:hAnsi="宋体"/>
                <w:szCs w:val="21"/>
              </w:rPr>
            </w:pPr>
            <w:r>
              <w:rPr>
                <w:rFonts w:hint="eastAsia" w:ascii="宋体" w:hAnsi="宋体" w:cs="仿宋_GB2312"/>
                <w:kern w:val="0"/>
                <w:szCs w:val="21"/>
              </w:rPr>
              <w:t>驻场服务人员按我局工作时间提供运维服务，即每个工作日上午9：00-12：00，下午14：00-18：00。</w:t>
            </w:r>
          </w:p>
        </w:tc>
        <w:tc>
          <w:tcPr>
            <w:tcW w:w="850" w:type="dxa"/>
            <w:noWrap w:val="0"/>
            <w:vAlign w:val="center"/>
          </w:tcPr>
          <w:p>
            <w:pPr>
              <w:jc w:val="center"/>
              <w:rPr>
                <w:rFonts w:hint="eastAsia" w:ascii="宋体" w:hAnsi="宋体"/>
                <w:szCs w:val="21"/>
              </w:rPr>
            </w:pPr>
            <w:r>
              <w:rPr>
                <w:rFonts w:hint="eastAsia" w:ascii="宋体" w:hAnsi="宋体"/>
                <w:szCs w:val="21"/>
              </w:rPr>
              <w:t>满足</w:t>
            </w:r>
          </w:p>
        </w:tc>
        <w:tc>
          <w:tcPr>
            <w:tcW w:w="15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2" w:type="dxa"/>
            <w:noWrap w:val="0"/>
            <w:vAlign w:val="center"/>
          </w:tcPr>
          <w:p>
            <w:pPr>
              <w:spacing w:line="360" w:lineRule="auto"/>
              <w:jc w:val="center"/>
              <w:rPr>
                <w:rFonts w:ascii="宋体" w:hAnsi="宋体"/>
                <w:szCs w:val="21"/>
              </w:rPr>
            </w:pPr>
            <w:r>
              <w:rPr>
                <w:rFonts w:hint="eastAsia" w:ascii="宋体" w:hAnsi="宋体"/>
                <w:szCs w:val="21"/>
              </w:rPr>
              <w:t>3</w:t>
            </w:r>
          </w:p>
        </w:tc>
        <w:tc>
          <w:tcPr>
            <w:tcW w:w="1276" w:type="dxa"/>
            <w:noWrap w:val="0"/>
            <w:vAlign w:val="center"/>
          </w:tcPr>
          <w:p>
            <w:pPr>
              <w:spacing w:line="360" w:lineRule="auto"/>
              <w:rPr>
                <w:rFonts w:ascii="宋体" w:hAnsi="宋体"/>
                <w:szCs w:val="21"/>
              </w:rPr>
            </w:pPr>
            <w:r>
              <w:rPr>
                <w:rFonts w:hint="eastAsia" w:ascii="宋体" w:hAnsi="宋体"/>
                <w:szCs w:val="21"/>
              </w:rPr>
              <w:t>五（三）</w:t>
            </w:r>
          </w:p>
        </w:tc>
        <w:tc>
          <w:tcPr>
            <w:tcW w:w="2445" w:type="dxa"/>
            <w:noWrap w:val="0"/>
            <w:vAlign w:val="center"/>
          </w:tcPr>
          <w:p>
            <w:pPr>
              <w:rPr>
                <w:rFonts w:ascii="宋体" w:hAnsi="宋体"/>
                <w:szCs w:val="21"/>
              </w:rPr>
            </w:pPr>
            <w:r>
              <w:rPr>
                <w:rFonts w:ascii="宋体" w:hAnsi="宋体"/>
                <w:szCs w:val="21"/>
              </w:rPr>
              <w:t>……</w:t>
            </w:r>
          </w:p>
        </w:tc>
        <w:tc>
          <w:tcPr>
            <w:tcW w:w="2537" w:type="dxa"/>
            <w:noWrap w:val="0"/>
            <w:vAlign w:val="center"/>
          </w:tcPr>
          <w:p>
            <w:pPr>
              <w:rPr>
                <w:rFonts w:ascii="宋体" w:hAnsi="宋体"/>
                <w:szCs w:val="21"/>
              </w:rPr>
            </w:pPr>
            <w:r>
              <w:rPr>
                <w:rFonts w:ascii="宋体" w:hAnsi="宋体"/>
                <w:szCs w:val="21"/>
              </w:rPr>
              <w:t>……</w:t>
            </w:r>
          </w:p>
        </w:tc>
        <w:tc>
          <w:tcPr>
            <w:tcW w:w="850" w:type="dxa"/>
            <w:noWrap w:val="0"/>
            <w:vAlign w:val="center"/>
          </w:tcPr>
          <w:p>
            <w:pPr>
              <w:spacing w:line="360" w:lineRule="auto"/>
              <w:jc w:val="center"/>
              <w:rPr>
                <w:rFonts w:ascii="宋体" w:hAnsi="宋体"/>
                <w:b/>
                <w:szCs w:val="21"/>
              </w:rPr>
            </w:pPr>
            <w:r>
              <w:rPr>
                <w:rFonts w:hint="eastAsia" w:ascii="宋体" w:hAnsi="宋体"/>
                <w:szCs w:val="21"/>
              </w:rPr>
              <w:t>满足</w:t>
            </w:r>
          </w:p>
        </w:tc>
        <w:tc>
          <w:tcPr>
            <w:tcW w:w="1560"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2" w:type="dxa"/>
            <w:noWrap w:val="0"/>
            <w:vAlign w:val="center"/>
          </w:tcPr>
          <w:p>
            <w:pPr>
              <w:spacing w:line="360" w:lineRule="auto"/>
              <w:jc w:val="center"/>
              <w:rPr>
                <w:rFonts w:ascii="宋体" w:hAnsi="宋体"/>
                <w:szCs w:val="21"/>
              </w:rPr>
            </w:pPr>
          </w:p>
        </w:tc>
        <w:tc>
          <w:tcPr>
            <w:tcW w:w="1276" w:type="dxa"/>
            <w:noWrap w:val="0"/>
            <w:vAlign w:val="center"/>
          </w:tcPr>
          <w:p>
            <w:pPr>
              <w:spacing w:line="360" w:lineRule="auto"/>
              <w:rPr>
                <w:rFonts w:hint="eastAsia" w:ascii="宋体" w:hAnsi="宋体"/>
                <w:szCs w:val="21"/>
              </w:rPr>
            </w:pPr>
            <w:r>
              <w:rPr>
                <w:rFonts w:hint="eastAsia" w:ascii="宋体" w:hAnsi="宋体"/>
                <w:szCs w:val="21"/>
              </w:rPr>
              <w:t>五（三）</w:t>
            </w:r>
          </w:p>
        </w:tc>
        <w:tc>
          <w:tcPr>
            <w:tcW w:w="2445" w:type="dxa"/>
            <w:noWrap w:val="0"/>
            <w:vAlign w:val="center"/>
          </w:tcPr>
          <w:p>
            <w:pPr>
              <w:rPr>
                <w:rFonts w:ascii="宋体" w:hAnsi="宋体"/>
                <w:szCs w:val="21"/>
              </w:rPr>
            </w:pPr>
            <w:r>
              <w:rPr>
                <w:rFonts w:ascii="宋体" w:hAnsi="宋体"/>
                <w:szCs w:val="21"/>
              </w:rPr>
              <w:t>……</w:t>
            </w:r>
          </w:p>
        </w:tc>
        <w:tc>
          <w:tcPr>
            <w:tcW w:w="2537" w:type="dxa"/>
            <w:noWrap w:val="0"/>
            <w:vAlign w:val="center"/>
          </w:tcPr>
          <w:p>
            <w:pPr>
              <w:rPr>
                <w:rFonts w:ascii="宋体" w:hAnsi="宋体"/>
                <w:szCs w:val="21"/>
              </w:rPr>
            </w:pPr>
            <w:r>
              <w:rPr>
                <w:rFonts w:ascii="宋体" w:hAnsi="宋体"/>
                <w:szCs w:val="21"/>
              </w:rPr>
              <w:t>……</w:t>
            </w:r>
          </w:p>
        </w:tc>
        <w:tc>
          <w:tcPr>
            <w:tcW w:w="850" w:type="dxa"/>
            <w:noWrap w:val="0"/>
            <w:vAlign w:val="center"/>
          </w:tcPr>
          <w:p>
            <w:pPr>
              <w:spacing w:line="360" w:lineRule="auto"/>
              <w:jc w:val="center"/>
              <w:rPr>
                <w:rFonts w:ascii="宋体" w:hAnsi="宋体"/>
                <w:szCs w:val="21"/>
              </w:rPr>
            </w:pPr>
            <w:r>
              <w:rPr>
                <w:rFonts w:ascii="宋体" w:hAnsi="宋体"/>
                <w:szCs w:val="21"/>
              </w:rPr>
              <w:t>……</w:t>
            </w:r>
          </w:p>
        </w:tc>
        <w:tc>
          <w:tcPr>
            <w:tcW w:w="1560"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2" w:type="dxa"/>
            <w:noWrap w:val="0"/>
            <w:vAlign w:val="center"/>
          </w:tcPr>
          <w:p>
            <w:pPr>
              <w:spacing w:line="360" w:lineRule="auto"/>
              <w:jc w:val="center"/>
              <w:rPr>
                <w:rFonts w:ascii="宋体" w:hAnsi="宋体"/>
                <w:szCs w:val="21"/>
              </w:rPr>
            </w:pPr>
          </w:p>
        </w:tc>
        <w:tc>
          <w:tcPr>
            <w:tcW w:w="1276" w:type="dxa"/>
            <w:noWrap w:val="0"/>
            <w:vAlign w:val="center"/>
          </w:tcPr>
          <w:p>
            <w:pPr>
              <w:spacing w:line="360" w:lineRule="auto"/>
              <w:rPr>
                <w:rFonts w:ascii="宋体" w:hAnsi="宋体"/>
                <w:szCs w:val="21"/>
              </w:rPr>
            </w:pPr>
            <w:r>
              <w:rPr>
                <w:rFonts w:hint="eastAsia" w:ascii="宋体" w:hAnsi="宋体"/>
                <w:szCs w:val="21"/>
              </w:rPr>
              <w:t>五（三）</w:t>
            </w:r>
          </w:p>
        </w:tc>
        <w:tc>
          <w:tcPr>
            <w:tcW w:w="2445" w:type="dxa"/>
            <w:noWrap w:val="0"/>
            <w:vAlign w:val="center"/>
          </w:tcPr>
          <w:p>
            <w:pPr>
              <w:rPr>
                <w:rFonts w:ascii="宋体" w:hAnsi="宋体"/>
                <w:szCs w:val="21"/>
              </w:rPr>
            </w:pPr>
            <w:r>
              <w:rPr>
                <w:rFonts w:ascii="宋体" w:hAnsi="宋体"/>
                <w:szCs w:val="21"/>
              </w:rPr>
              <w:t>……</w:t>
            </w:r>
          </w:p>
        </w:tc>
        <w:tc>
          <w:tcPr>
            <w:tcW w:w="2537" w:type="dxa"/>
            <w:noWrap w:val="0"/>
            <w:vAlign w:val="center"/>
          </w:tcPr>
          <w:p>
            <w:pPr>
              <w:rPr>
                <w:rFonts w:ascii="宋体" w:hAnsi="宋体"/>
                <w:szCs w:val="21"/>
              </w:rPr>
            </w:pPr>
            <w:r>
              <w:rPr>
                <w:rFonts w:ascii="宋体" w:hAnsi="宋体"/>
                <w:szCs w:val="21"/>
              </w:rPr>
              <w:t>……</w:t>
            </w:r>
          </w:p>
        </w:tc>
        <w:tc>
          <w:tcPr>
            <w:tcW w:w="850" w:type="dxa"/>
            <w:noWrap w:val="0"/>
            <w:vAlign w:val="center"/>
          </w:tcPr>
          <w:p>
            <w:pPr>
              <w:spacing w:line="360" w:lineRule="auto"/>
              <w:jc w:val="center"/>
              <w:rPr>
                <w:rFonts w:ascii="宋体" w:hAnsi="宋体"/>
                <w:szCs w:val="21"/>
              </w:rPr>
            </w:pPr>
            <w:r>
              <w:rPr>
                <w:rFonts w:ascii="宋体" w:hAnsi="宋体"/>
                <w:szCs w:val="21"/>
              </w:rPr>
              <w:t>……</w:t>
            </w:r>
          </w:p>
        </w:tc>
        <w:tc>
          <w:tcPr>
            <w:tcW w:w="1560"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2" w:type="dxa"/>
            <w:noWrap w:val="0"/>
            <w:vAlign w:val="center"/>
          </w:tcPr>
          <w:p>
            <w:pPr>
              <w:spacing w:line="360" w:lineRule="auto"/>
              <w:jc w:val="center"/>
              <w:rPr>
                <w:rFonts w:ascii="宋体" w:hAnsi="宋体"/>
                <w:szCs w:val="21"/>
              </w:rPr>
            </w:pPr>
          </w:p>
        </w:tc>
        <w:tc>
          <w:tcPr>
            <w:tcW w:w="1276" w:type="dxa"/>
            <w:noWrap w:val="0"/>
            <w:vAlign w:val="center"/>
          </w:tcPr>
          <w:p>
            <w:pPr>
              <w:spacing w:line="360" w:lineRule="auto"/>
              <w:rPr>
                <w:rFonts w:ascii="宋体" w:hAnsi="宋体"/>
                <w:szCs w:val="21"/>
              </w:rPr>
            </w:pPr>
            <w:r>
              <w:rPr>
                <w:rFonts w:hint="eastAsia" w:ascii="宋体" w:hAnsi="宋体"/>
                <w:szCs w:val="21"/>
              </w:rPr>
              <w:t>五（三）</w:t>
            </w:r>
          </w:p>
        </w:tc>
        <w:tc>
          <w:tcPr>
            <w:tcW w:w="2445" w:type="dxa"/>
            <w:noWrap w:val="0"/>
            <w:vAlign w:val="center"/>
          </w:tcPr>
          <w:p>
            <w:pPr>
              <w:rPr>
                <w:rFonts w:ascii="宋体" w:hAnsi="宋体"/>
                <w:szCs w:val="21"/>
              </w:rPr>
            </w:pPr>
            <w:r>
              <w:rPr>
                <w:rFonts w:ascii="宋体" w:hAnsi="宋体"/>
                <w:szCs w:val="21"/>
              </w:rPr>
              <w:t>……</w:t>
            </w:r>
          </w:p>
        </w:tc>
        <w:tc>
          <w:tcPr>
            <w:tcW w:w="2537" w:type="dxa"/>
            <w:noWrap w:val="0"/>
            <w:vAlign w:val="center"/>
          </w:tcPr>
          <w:p>
            <w:pPr>
              <w:rPr>
                <w:rFonts w:ascii="宋体" w:hAnsi="宋体"/>
                <w:szCs w:val="21"/>
              </w:rPr>
            </w:pPr>
            <w:r>
              <w:rPr>
                <w:rFonts w:ascii="宋体" w:hAnsi="宋体"/>
                <w:szCs w:val="21"/>
              </w:rPr>
              <w:t>……</w:t>
            </w:r>
          </w:p>
        </w:tc>
        <w:tc>
          <w:tcPr>
            <w:tcW w:w="850" w:type="dxa"/>
            <w:noWrap w:val="0"/>
            <w:vAlign w:val="center"/>
          </w:tcPr>
          <w:p>
            <w:pPr>
              <w:spacing w:line="360" w:lineRule="auto"/>
              <w:jc w:val="center"/>
              <w:rPr>
                <w:rFonts w:ascii="宋体" w:hAnsi="宋体"/>
                <w:szCs w:val="21"/>
              </w:rPr>
            </w:pPr>
            <w:r>
              <w:rPr>
                <w:rFonts w:ascii="宋体" w:hAnsi="宋体"/>
                <w:szCs w:val="21"/>
              </w:rPr>
              <w:t>……</w:t>
            </w:r>
          </w:p>
        </w:tc>
        <w:tc>
          <w:tcPr>
            <w:tcW w:w="1560"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2" w:type="dxa"/>
            <w:noWrap w:val="0"/>
            <w:vAlign w:val="center"/>
          </w:tcPr>
          <w:p>
            <w:pPr>
              <w:spacing w:line="360" w:lineRule="auto"/>
              <w:jc w:val="center"/>
              <w:rPr>
                <w:rFonts w:ascii="宋体" w:hAnsi="宋体"/>
                <w:szCs w:val="21"/>
              </w:rPr>
            </w:pPr>
          </w:p>
        </w:tc>
        <w:tc>
          <w:tcPr>
            <w:tcW w:w="1276" w:type="dxa"/>
            <w:noWrap w:val="0"/>
            <w:vAlign w:val="center"/>
          </w:tcPr>
          <w:p>
            <w:pPr>
              <w:spacing w:line="360" w:lineRule="auto"/>
              <w:rPr>
                <w:rFonts w:ascii="宋体" w:hAnsi="宋体"/>
                <w:szCs w:val="21"/>
              </w:rPr>
            </w:pPr>
            <w:r>
              <w:rPr>
                <w:rFonts w:ascii="宋体" w:hAnsi="宋体"/>
                <w:szCs w:val="21"/>
              </w:rPr>
              <w:t>……</w:t>
            </w:r>
          </w:p>
        </w:tc>
        <w:tc>
          <w:tcPr>
            <w:tcW w:w="2445" w:type="dxa"/>
            <w:noWrap w:val="0"/>
            <w:vAlign w:val="center"/>
          </w:tcPr>
          <w:p>
            <w:pPr>
              <w:rPr>
                <w:rFonts w:ascii="宋体" w:hAnsi="宋体"/>
                <w:szCs w:val="21"/>
              </w:rPr>
            </w:pPr>
            <w:r>
              <w:rPr>
                <w:rFonts w:ascii="宋体" w:hAnsi="宋体"/>
                <w:szCs w:val="21"/>
              </w:rPr>
              <w:t>……</w:t>
            </w:r>
          </w:p>
        </w:tc>
        <w:tc>
          <w:tcPr>
            <w:tcW w:w="2537" w:type="dxa"/>
            <w:noWrap w:val="0"/>
            <w:vAlign w:val="center"/>
          </w:tcPr>
          <w:p>
            <w:pPr>
              <w:rPr>
                <w:rFonts w:ascii="宋体" w:hAnsi="宋体"/>
                <w:szCs w:val="21"/>
              </w:rPr>
            </w:pPr>
            <w:r>
              <w:rPr>
                <w:rFonts w:ascii="宋体" w:hAnsi="宋体"/>
                <w:szCs w:val="21"/>
              </w:rPr>
              <w:t>……</w:t>
            </w:r>
          </w:p>
        </w:tc>
        <w:tc>
          <w:tcPr>
            <w:tcW w:w="850" w:type="dxa"/>
            <w:noWrap w:val="0"/>
            <w:vAlign w:val="center"/>
          </w:tcPr>
          <w:p>
            <w:pPr>
              <w:spacing w:line="360" w:lineRule="auto"/>
              <w:jc w:val="center"/>
              <w:rPr>
                <w:rFonts w:ascii="宋体" w:hAnsi="宋体"/>
                <w:szCs w:val="21"/>
              </w:rPr>
            </w:pPr>
            <w:r>
              <w:rPr>
                <w:rFonts w:ascii="宋体" w:hAnsi="宋体"/>
                <w:szCs w:val="21"/>
              </w:rPr>
              <w:t>……</w:t>
            </w:r>
          </w:p>
        </w:tc>
        <w:tc>
          <w:tcPr>
            <w:tcW w:w="1560"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392" w:type="dxa"/>
            <w:noWrap w:val="0"/>
            <w:vAlign w:val="center"/>
          </w:tcPr>
          <w:p>
            <w:pPr>
              <w:spacing w:line="360" w:lineRule="auto"/>
              <w:jc w:val="center"/>
              <w:rPr>
                <w:rFonts w:ascii="宋体" w:hAnsi="宋体"/>
                <w:szCs w:val="21"/>
              </w:rPr>
            </w:pPr>
          </w:p>
        </w:tc>
        <w:tc>
          <w:tcPr>
            <w:tcW w:w="1276" w:type="dxa"/>
            <w:noWrap w:val="0"/>
            <w:vAlign w:val="center"/>
          </w:tcPr>
          <w:p>
            <w:pPr>
              <w:spacing w:line="360" w:lineRule="auto"/>
              <w:rPr>
                <w:rFonts w:ascii="宋体" w:hAnsi="宋体"/>
                <w:szCs w:val="21"/>
              </w:rPr>
            </w:pPr>
            <w:r>
              <w:rPr>
                <w:rFonts w:ascii="宋体" w:hAnsi="宋体"/>
                <w:szCs w:val="21"/>
              </w:rPr>
              <w:t>……</w:t>
            </w:r>
          </w:p>
        </w:tc>
        <w:tc>
          <w:tcPr>
            <w:tcW w:w="2445" w:type="dxa"/>
            <w:noWrap w:val="0"/>
            <w:vAlign w:val="center"/>
          </w:tcPr>
          <w:p>
            <w:pPr>
              <w:rPr>
                <w:rFonts w:ascii="宋体" w:hAnsi="宋体"/>
                <w:szCs w:val="21"/>
              </w:rPr>
            </w:pPr>
            <w:r>
              <w:rPr>
                <w:rFonts w:ascii="宋体" w:hAnsi="宋体"/>
                <w:szCs w:val="21"/>
              </w:rPr>
              <w:t>……</w:t>
            </w:r>
          </w:p>
        </w:tc>
        <w:tc>
          <w:tcPr>
            <w:tcW w:w="2537" w:type="dxa"/>
            <w:noWrap w:val="0"/>
            <w:vAlign w:val="center"/>
          </w:tcPr>
          <w:p>
            <w:pPr>
              <w:rPr>
                <w:rFonts w:ascii="宋体" w:hAnsi="宋体"/>
                <w:szCs w:val="21"/>
              </w:rPr>
            </w:pPr>
            <w:r>
              <w:rPr>
                <w:rFonts w:ascii="宋体" w:hAnsi="宋体"/>
                <w:szCs w:val="21"/>
              </w:rPr>
              <w:t>……</w:t>
            </w:r>
          </w:p>
        </w:tc>
        <w:tc>
          <w:tcPr>
            <w:tcW w:w="850" w:type="dxa"/>
            <w:noWrap w:val="0"/>
            <w:vAlign w:val="center"/>
          </w:tcPr>
          <w:p>
            <w:pPr>
              <w:spacing w:line="360" w:lineRule="auto"/>
              <w:jc w:val="center"/>
              <w:rPr>
                <w:rFonts w:ascii="宋体" w:hAnsi="宋体"/>
                <w:szCs w:val="21"/>
              </w:rPr>
            </w:pPr>
            <w:r>
              <w:rPr>
                <w:rFonts w:ascii="宋体" w:hAnsi="宋体"/>
                <w:szCs w:val="21"/>
              </w:rPr>
              <w:t>……</w:t>
            </w:r>
          </w:p>
        </w:tc>
        <w:tc>
          <w:tcPr>
            <w:tcW w:w="1560" w:type="dxa"/>
            <w:noWrap w:val="0"/>
            <w:vAlign w:val="center"/>
          </w:tcPr>
          <w:p>
            <w:pPr>
              <w:spacing w:line="360" w:lineRule="auto"/>
              <w:jc w:val="center"/>
              <w:rPr>
                <w:rFonts w:ascii="宋体" w:hAnsi="宋体"/>
                <w:szCs w:val="21"/>
              </w:rPr>
            </w:pPr>
          </w:p>
        </w:tc>
      </w:tr>
    </w:tbl>
    <w:p>
      <w:pPr>
        <w:spacing w:line="360" w:lineRule="auto"/>
        <w:rPr>
          <w:rFonts w:hint="eastAsia" w:ascii="宋体" w:hAnsi="宋体"/>
          <w:szCs w:val="21"/>
        </w:rPr>
      </w:pPr>
      <w:r>
        <w:rPr>
          <w:rFonts w:hint="eastAsia" w:ascii="宋体" w:hAnsi="宋体"/>
          <w:szCs w:val="21"/>
        </w:rPr>
        <w:t>说明：“磋商文件条目号”应对应《竞争性磋商文件》第二章 五、技术（服务）要求的具体条款序号填写，上表列出的条目号仅为告知供应商“磋商文件条目号”样式。</w:t>
      </w:r>
    </w:p>
    <w:p>
      <w:pPr>
        <w:spacing w:line="360" w:lineRule="auto"/>
        <w:rPr>
          <w:rFonts w:hint="eastAsia" w:ascii="宋体" w:hAnsi="宋体"/>
          <w:b/>
          <w:szCs w:val="21"/>
        </w:rPr>
      </w:pPr>
      <w:r>
        <w:rPr>
          <w:rFonts w:hint="eastAsia" w:ascii="宋体" w:hAnsi="宋体"/>
          <w:szCs w:val="21"/>
        </w:rPr>
        <w:t>磋商应答文件中对标注（"★"）号的重要条款不响应或任何的不满足（负偏离），将导致磋商应答文件无效。</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供应商代表（签字）:</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单位盖章（公章）：</w:t>
      </w:r>
      <w:r>
        <w:rPr>
          <w:rFonts w:hint="eastAsia" w:ascii="宋体" w:hAnsi="宋体"/>
          <w:szCs w:val="21"/>
          <w:u w:val="single"/>
        </w:rPr>
        <w:t xml:space="preserve">                               </w:t>
      </w:r>
    </w:p>
    <w:p>
      <w:pPr>
        <w:spacing w:line="360" w:lineRule="auto"/>
        <w:rPr>
          <w:rFonts w:hint="eastAsia" w:ascii="宋体" w:hAnsi="宋体"/>
          <w:szCs w:val="21"/>
        </w:rPr>
      </w:pPr>
    </w:p>
    <w:p>
      <w:pPr>
        <w:spacing w:line="360" w:lineRule="auto"/>
        <w:ind w:left="632" w:hanging="632" w:hangingChars="300"/>
        <w:rPr>
          <w:rFonts w:hint="eastAsia"/>
          <w:b/>
          <w:szCs w:val="21"/>
        </w:rPr>
      </w:pPr>
      <w:r>
        <w:rPr>
          <w:rFonts w:hAnsi="宋体"/>
          <w:b/>
          <w:szCs w:val="21"/>
        </w:rPr>
        <w:t>注：</w:t>
      </w:r>
      <w:r>
        <w:rPr>
          <w:b/>
          <w:szCs w:val="21"/>
        </w:rPr>
        <w:t>1</w:t>
      </w:r>
      <w:r>
        <w:rPr>
          <w:rFonts w:hAnsi="宋体"/>
          <w:b/>
          <w:szCs w:val="21"/>
        </w:rPr>
        <w:t>、</w:t>
      </w:r>
      <w:r>
        <w:rPr>
          <w:rFonts w:hint="eastAsia"/>
          <w:b/>
          <w:szCs w:val="21"/>
        </w:rPr>
        <w:t>供应商</w:t>
      </w:r>
      <w:r>
        <w:rPr>
          <w:b/>
          <w:szCs w:val="21"/>
        </w:rPr>
        <w:t>必须严格按照此表格，逐条对照</w:t>
      </w:r>
      <w:r>
        <w:rPr>
          <w:rFonts w:hAnsi="宋体"/>
          <w:b/>
          <w:szCs w:val="21"/>
        </w:rPr>
        <w:t>《</w:t>
      </w:r>
      <w:r>
        <w:rPr>
          <w:rFonts w:hint="eastAsia" w:hAnsi="宋体"/>
          <w:b/>
          <w:szCs w:val="21"/>
        </w:rPr>
        <w:t>竞争性磋商文件</w:t>
      </w:r>
      <w:r>
        <w:rPr>
          <w:rFonts w:hAnsi="宋体"/>
          <w:b/>
          <w:szCs w:val="21"/>
        </w:rPr>
        <w:t>》</w:t>
      </w:r>
      <w:r>
        <w:rPr>
          <w:rFonts w:hint="eastAsia"/>
          <w:b/>
          <w:szCs w:val="21"/>
        </w:rPr>
        <w:t>第二章 五、技术（服务）</w:t>
      </w:r>
      <w:r>
        <w:rPr>
          <w:b/>
          <w:szCs w:val="21"/>
        </w:rPr>
        <w:t>要求</w:t>
      </w:r>
      <w:r>
        <w:rPr>
          <w:rFonts w:hint="eastAsia"/>
          <w:b/>
          <w:szCs w:val="21"/>
        </w:rPr>
        <w:t>中的</w:t>
      </w:r>
      <w:r>
        <w:rPr>
          <w:b/>
          <w:szCs w:val="21"/>
        </w:rPr>
        <w:t>全部内容</w:t>
      </w:r>
      <w:r>
        <w:rPr>
          <w:rFonts w:hint="eastAsia"/>
          <w:b/>
          <w:szCs w:val="21"/>
        </w:rPr>
        <w:t>一一响应，在“磋商应答情况”栏填写所投技术（服务）响应情况；在“满足与否”栏填写所投技术（服务）情况与</w:t>
      </w:r>
      <w:r>
        <w:rPr>
          <w:rFonts w:hint="eastAsia" w:ascii="宋体" w:hAnsi="宋体"/>
          <w:b/>
          <w:szCs w:val="21"/>
        </w:rPr>
        <w:t>竞争性磋商文件</w:t>
      </w:r>
      <w:r>
        <w:rPr>
          <w:rFonts w:hint="eastAsia"/>
          <w:b/>
          <w:szCs w:val="21"/>
        </w:rPr>
        <w:t>技术要求是否满足；如有说明（或佐证材料）可在“说明”栏中填写。</w:t>
      </w:r>
    </w:p>
    <w:p>
      <w:pPr>
        <w:spacing w:line="360" w:lineRule="auto"/>
        <w:ind w:left="420" w:leftChars="200"/>
        <w:rPr>
          <w:rFonts w:hint="eastAsia"/>
          <w:b/>
          <w:szCs w:val="21"/>
        </w:rPr>
      </w:pPr>
      <w:r>
        <w:rPr>
          <w:rFonts w:hint="eastAsia"/>
          <w:b/>
          <w:szCs w:val="21"/>
        </w:rPr>
        <w:t>2、</w:t>
      </w:r>
      <w:r>
        <w:rPr>
          <w:rFonts w:hint="eastAsia" w:hAnsi="宋体"/>
          <w:b/>
          <w:szCs w:val="21"/>
        </w:rPr>
        <w:t>未逐条填写、填写不足、不详或不实，</w:t>
      </w:r>
      <w:r>
        <w:rPr>
          <w:rFonts w:hAnsi="宋体"/>
          <w:b/>
        </w:rPr>
        <w:t>磋商小组</w:t>
      </w:r>
      <w:r>
        <w:rPr>
          <w:rFonts w:hint="eastAsia" w:hAnsi="宋体"/>
          <w:b/>
          <w:szCs w:val="21"/>
        </w:rPr>
        <w:t>有权视为无实质性响应</w:t>
      </w:r>
      <w:r>
        <w:rPr>
          <w:rFonts w:hint="eastAsia"/>
          <w:b/>
          <w:szCs w:val="21"/>
        </w:rPr>
        <w:t>。</w:t>
      </w:r>
    </w:p>
    <w:p>
      <w:pPr>
        <w:spacing w:line="360" w:lineRule="auto"/>
        <w:ind w:left="420" w:leftChars="200"/>
        <w:rPr>
          <w:rFonts w:hint="eastAsia"/>
          <w:b/>
          <w:sz w:val="28"/>
        </w:rPr>
      </w:pPr>
      <w:r>
        <w:rPr>
          <w:rFonts w:hint="eastAsia"/>
          <w:b/>
          <w:szCs w:val="21"/>
        </w:rPr>
        <w:t>3、</w:t>
      </w:r>
      <w:r>
        <w:rPr>
          <w:rFonts w:hAnsi="宋体"/>
          <w:b/>
          <w:szCs w:val="21"/>
        </w:rPr>
        <w:t>此表可延长。</w:t>
      </w:r>
    </w:p>
    <w:p>
      <w:pPr>
        <w:pStyle w:val="4"/>
        <w:snapToGrid w:val="0"/>
        <w:spacing w:before="0" w:after="0" w:line="360" w:lineRule="auto"/>
        <w:jc w:val="center"/>
        <w:rPr>
          <w:rFonts w:hint="eastAsia" w:ascii="黑体" w:hAnsi="黑体" w:eastAsia="黑体"/>
          <w:b w:val="0"/>
        </w:rPr>
      </w:pPr>
      <w:r>
        <w:rPr>
          <w:rFonts w:ascii="黑体" w:hAnsi="黑体" w:eastAsia="黑体"/>
          <w:b w:val="0"/>
          <w:color w:val="FF0000"/>
        </w:rPr>
        <w:br w:type="page"/>
      </w:r>
      <w:bookmarkStart w:id="63" w:name="_Toc161306889"/>
      <w:r>
        <w:rPr>
          <w:rFonts w:hint="eastAsia" w:ascii="黑体" w:hAnsi="黑体" w:eastAsia="黑体"/>
          <w:b w:val="0"/>
        </w:rPr>
        <w:t>7、</w:t>
      </w:r>
      <w:r>
        <w:rPr>
          <w:rFonts w:hint="eastAsia" w:ascii="黑体" w:hAnsi="黑体" w:eastAsia="黑体"/>
        </w:rPr>
        <w:t>资格证明文件</w:t>
      </w:r>
      <w:bookmarkEnd w:id="63"/>
    </w:p>
    <w:p>
      <w:pPr>
        <w:spacing w:line="360" w:lineRule="auto"/>
        <w:jc w:val="center"/>
        <w:rPr>
          <w:rFonts w:hint="eastAsia" w:ascii="宋体" w:hAnsi="宋体"/>
          <w:b/>
          <w:sz w:val="24"/>
        </w:rPr>
      </w:pPr>
      <w:r>
        <w:rPr>
          <w:rFonts w:hint="eastAsia" w:ascii="宋体" w:hAnsi="宋体"/>
          <w:b/>
          <w:sz w:val="24"/>
        </w:rPr>
        <w:t>目  录</w:t>
      </w:r>
    </w:p>
    <w:p>
      <w:pPr>
        <w:spacing w:line="480" w:lineRule="exact"/>
        <w:rPr>
          <w:rFonts w:hint="eastAsia" w:ascii="宋体"/>
        </w:rPr>
      </w:pPr>
      <w:r>
        <w:rPr>
          <w:rFonts w:hint="eastAsia" w:ascii="宋体"/>
        </w:rPr>
        <w:t>供应商应按照竞争性磋商文件的要求做出全面的响应。其内容应包括但不限于以下各项：</w:t>
      </w:r>
    </w:p>
    <w:p>
      <w:pPr>
        <w:rPr>
          <w:rFonts w:hint="eastAsia" w:ascii="宋体" w:hAnsi="宋体"/>
          <w:b/>
        </w:rPr>
      </w:pPr>
    </w:p>
    <w:p>
      <w:pPr>
        <w:spacing w:line="360" w:lineRule="auto"/>
        <w:rPr>
          <w:rStyle w:val="31"/>
          <w:rFonts w:hint="eastAsia"/>
        </w:rPr>
      </w:pPr>
      <w:bookmarkStart w:id="64" w:name="_Hlt95295113"/>
      <w:r>
        <w:rPr>
          <w:rStyle w:val="31"/>
          <w:rFonts w:hint="eastAsia"/>
        </w:rPr>
        <w:t>7-1  关</w:t>
      </w:r>
      <w:bookmarkEnd w:id="64"/>
      <w:r>
        <w:rPr>
          <w:rStyle w:val="31"/>
          <w:rFonts w:hint="eastAsia"/>
        </w:rPr>
        <w:t>于</w:t>
      </w:r>
      <w:bookmarkStart w:id="65" w:name="_Hlt103399911"/>
      <w:bookmarkStart w:id="66" w:name="_Hlt99337231"/>
      <w:r>
        <w:rPr>
          <w:rStyle w:val="31"/>
          <w:rFonts w:hint="eastAsia"/>
        </w:rPr>
        <w:t>资</w:t>
      </w:r>
      <w:bookmarkEnd w:id="65"/>
      <w:bookmarkEnd w:id="66"/>
      <w:bookmarkStart w:id="67" w:name="_Hlt95295087"/>
      <w:bookmarkStart w:id="68" w:name="_Hlt95295086"/>
      <w:r>
        <w:rPr>
          <w:rStyle w:val="31"/>
          <w:rFonts w:hint="eastAsia"/>
        </w:rPr>
        <w:t>格</w:t>
      </w:r>
      <w:bookmarkEnd w:id="67"/>
      <w:bookmarkEnd w:id="68"/>
      <w:bookmarkStart w:id="69" w:name="_Hlt95295167"/>
      <w:r>
        <w:rPr>
          <w:rStyle w:val="31"/>
          <w:rFonts w:hint="eastAsia"/>
        </w:rPr>
        <w:t>的</w:t>
      </w:r>
      <w:bookmarkEnd w:id="69"/>
      <w:r>
        <w:rPr>
          <w:rStyle w:val="31"/>
          <w:rFonts w:hint="eastAsia"/>
        </w:rPr>
        <w:t>声明函</w:t>
      </w:r>
    </w:p>
    <w:p>
      <w:pPr>
        <w:spacing w:line="360" w:lineRule="auto"/>
        <w:rPr>
          <w:rStyle w:val="31"/>
          <w:rFonts w:hint="eastAsia"/>
        </w:rPr>
      </w:pPr>
      <w:r>
        <w:rPr>
          <w:rStyle w:val="31"/>
          <w:rFonts w:hint="eastAsia"/>
        </w:rPr>
        <w:t>7-2  营业</w:t>
      </w:r>
      <w:bookmarkStart w:id="70" w:name="_Hlt99337238"/>
      <w:r>
        <w:rPr>
          <w:rStyle w:val="31"/>
          <w:rFonts w:hint="eastAsia"/>
        </w:rPr>
        <w:t>执</w:t>
      </w:r>
      <w:bookmarkEnd w:id="70"/>
      <w:bookmarkStart w:id="71" w:name="_Hlt95295227"/>
      <w:r>
        <w:rPr>
          <w:rStyle w:val="31"/>
          <w:rFonts w:hint="eastAsia"/>
        </w:rPr>
        <w:t>照</w:t>
      </w:r>
      <w:bookmarkEnd w:id="71"/>
      <w:r>
        <w:rPr>
          <w:rStyle w:val="31"/>
          <w:rFonts w:hint="eastAsia"/>
        </w:rPr>
        <w:t>副本（复印件加盖公章）</w:t>
      </w:r>
    </w:p>
    <w:p>
      <w:pPr>
        <w:spacing w:line="360" w:lineRule="auto"/>
        <w:rPr>
          <w:rStyle w:val="31"/>
          <w:rFonts w:hint="eastAsia"/>
        </w:rPr>
      </w:pPr>
      <w:r>
        <w:rPr>
          <w:rStyle w:val="31"/>
          <w:rFonts w:hint="eastAsia"/>
        </w:rPr>
        <w:t>7-3  政府采购投标及履约承诺函</w:t>
      </w:r>
    </w:p>
    <w:p>
      <w:pPr>
        <w:spacing w:line="360" w:lineRule="auto"/>
        <w:rPr>
          <w:rStyle w:val="31"/>
          <w:rFonts w:hint="eastAsia"/>
        </w:rPr>
      </w:pPr>
      <w:r>
        <w:rPr>
          <w:rStyle w:val="31"/>
          <w:rFonts w:hint="eastAsia"/>
        </w:rPr>
        <w:t>7-4  非联合体投标的声明函</w:t>
      </w:r>
    </w:p>
    <w:p>
      <w:pPr>
        <w:spacing w:line="360" w:lineRule="auto"/>
        <w:rPr>
          <w:rStyle w:val="31"/>
          <w:rFonts w:hint="eastAsia"/>
        </w:rPr>
      </w:pPr>
      <w:r>
        <w:rPr>
          <w:rStyle w:val="31"/>
          <w:rFonts w:hint="eastAsia"/>
        </w:rPr>
        <w:t xml:space="preserve">7-5  </w:t>
      </w:r>
      <w:r>
        <w:rPr>
          <w:rStyle w:val="31"/>
        </w:rPr>
        <w:fldChar w:fldCharType="begin"/>
      </w:r>
      <w:r>
        <w:rPr>
          <w:rStyle w:val="31"/>
        </w:rPr>
        <w:instrText xml:space="preserve"> HYPERLINK  \l "FUJIAN83" </w:instrText>
      </w:r>
      <w:r>
        <w:rPr>
          <w:rStyle w:val="31"/>
        </w:rPr>
        <w:fldChar w:fldCharType="separate"/>
      </w:r>
      <w:r>
        <w:rPr>
          <w:rStyle w:val="31"/>
          <w:rFonts w:hint="eastAsia"/>
        </w:rPr>
        <w:t>法定</w:t>
      </w:r>
      <w:bookmarkStart w:id="72" w:name="_Hlt99337242"/>
      <w:r>
        <w:rPr>
          <w:rStyle w:val="31"/>
          <w:rFonts w:hint="eastAsia"/>
        </w:rPr>
        <w:t>代</w:t>
      </w:r>
      <w:bookmarkEnd w:id="72"/>
      <w:r>
        <w:rPr>
          <w:rStyle w:val="31"/>
          <w:rFonts w:hint="eastAsia"/>
        </w:rPr>
        <w:t>表人证明书及法人</w:t>
      </w:r>
      <w:bookmarkStart w:id="73" w:name="_Hlt95295434"/>
      <w:r>
        <w:rPr>
          <w:rStyle w:val="31"/>
          <w:rFonts w:hint="eastAsia"/>
        </w:rPr>
        <w:t>授</w:t>
      </w:r>
      <w:bookmarkEnd w:id="73"/>
      <w:r>
        <w:rPr>
          <w:rStyle w:val="31"/>
          <w:rFonts w:hint="eastAsia"/>
        </w:rPr>
        <w:t>权委托证明书</w:t>
      </w:r>
      <w:r>
        <w:rPr>
          <w:rStyle w:val="31"/>
        </w:rPr>
        <w:fldChar w:fldCharType="end"/>
      </w:r>
    </w:p>
    <w:p>
      <w:pPr>
        <w:spacing w:line="360" w:lineRule="auto"/>
        <w:rPr>
          <w:rStyle w:val="31"/>
          <w:rFonts w:hint="eastAsia"/>
        </w:rPr>
      </w:pPr>
      <w:r>
        <w:rPr>
          <w:rStyle w:val="31"/>
          <w:rFonts w:hint="eastAsia"/>
        </w:rPr>
        <w:t>7-6  供应</w:t>
      </w:r>
      <w:bookmarkStart w:id="74" w:name="_Hlt194822035"/>
      <w:bookmarkStart w:id="75" w:name="_Hlt194822036"/>
      <w:bookmarkStart w:id="76" w:name="_Hlt194822059"/>
      <w:r>
        <w:rPr>
          <w:rStyle w:val="31"/>
          <w:rFonts w:hint="eastAsia"/>
        </w:rPr>
        <w:t>商</w:t>
      </w:r>
      <w:bookmarkEnd w:id="74"/>
      <w:bookmarkEnd w:id="75"/>
      <w:bookmarkEnd w:id="76"/>
      <w:r>
        <w:rPr>
          <w:rStyle w:val="31"/>
          <w:rFonts w:hint="eastAsia"/>
        </w:rPr>
        <w:t>简介</w:t>
      </w:r>
    </w:p>
    <w:p>
      <w:pPr>
        <w:spacing w:line="360" w:lineRule="auto"/>
        <w:rPr>
          <w:rStyle w:val="31"/>
        </w:rPr>
      </w:pPr>
      <w:r>
        <w:rPr>
          <w:rStyle w:val="31"/>
          <w:rFonts w:hint="eastAsia"/>
        </w:rPr>
        <w:t>7</w:t>
      </w:r>
      <w:r>
        <w:rPr>
          <w:rStyle w:val="31"/>
        </w:rPr>
        <w:t>-</w:t>
      </w:r>
      <w:r>
        <w:rPr>
          <w:rStyle w:val="31"/>
          <w:rFonts w:hint="eastAsia"/>
        </w:rPr>
        <w:t>7</w:t>
      </w:r>
      <w:r>
        <w:rPr>
          <w:rStyle w:val="31"/>
        </w:rPr>
        <w:t xml:space="preserve">  </w:t>
      </w:r>
      <w:r>
        <w:rPr>
          <w:rStyle w:val="31"/>
        </w:rPr>
        <w:fldChar w:fldCharType="begin"/>
      </w:r>
      <w:r>
        <w:rPr>
          <w:rStyle w:val="31"/>
        </w:rPr>
        <w:instrText xml:space="preserve"> HYPERLINK "file:///C:\\Documents%20and%20Settings\\Administrator\\桌面\\OTC1115911-深圳市第二人民医院电动手术床采购\\第一版-招标文件-OTC1115911-深圳市第二人民医院电动手术床采购\\第一版-招标文件-</w:instrText>
      </w:r>
      <w:r>
        <w:rPr>
          <w:rStyle w:val="31"/>
          <w:rFonts w:hAnsi="宋体"/>
        </w:rPr>
        <w:instrText xml:space="preserve">Ⅰ</w:instrText>
      </w:r>
      <w:r>
        <w:rPr>
          <w:rStyle w:val="31"/>
        </w:rPr>
        <w:instrText xml:space="preserve">-OTC1115911-深圳市第二人民医院电动手术床采购.doc" \l "_Toc308707668" </w:instrText>
      </w:r>
      <w:r>
        <w:rPr>
          <w:rStyle w:val="31"/>
        </w:rPr>
        <w:fldChar w:fldCharType="separate"/>
      </w:r>
      <w:r>
        <w:rPr>
          <w:rStyle w:val="33"/>
          <w:color w:val="auto"/>
        </w:rPr>
        <w:t>其他证明文件（资料）</w:t>
      </w:r>
      <w:r>
        <w:rPr>
          <w:rStyle w:val="31"/>
        </w:rPr>
        <w:fldChar w:fldCharType="end"/>
      </w:r>
    </w:p>
    <w:p>
      <w:pPr>
        <w:spacing w:line="360" w:lineRule="auto"/>
        <w:rPr>
          <w:rFonts w:hint="eastAsia" w:ascii="宋体" w:hAnsi="宋体"/>
          <w:sz w:val="24"/>
        </w:rPr>
      </w:pPr>
      <w:r>
        <w:rPr>
          <w:rFonts w:hint="eastAsia" w:ascii="宋体" w:hAnsi="宋体"/>
          <w:sz w:val="24"/>
        </w:rPr>
        <w:t>以及第二章《项目要求》资格要求中规定提供的相关证明文件按此序号延续。</w:t>
      </w:r>
    </w:p>
    <w:p>
      <w:pPr>
        <w:spacing w:line="360" w:lineRule="auto"/>
        <w:jc w:val="center"/>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jc w:val="center"/>
        <w:rPr>
          <w:rFonts w:hint="eastAsia" w:ascii="宋体" w:hAnsi="宋体"/>
          <w:b/>
          <w:sz w:val="24"/>
        </w:rPr>
      </w:pPr>
      <w:r>
        <w:rPr>
          <w:rFonts w:hint="eastAsia" w:ascii="宋体" w:hAnsi="宋体"/>
          <w:b/>
          <w:sz w:val="24"/>
        </w:rPr>
        <w:t>须  知</w:t>
      </w:r>
    </w:p>
    <w:p>
      <w:pPr>
        <w:spacing w:line="360" w:lineRule="auto"/>
        <w:jc w:val="center"/>
        <w:rPr>
          <w:rFonts w:hint="eastAsia" w:ascii="宋体" w:hAnsi="宋体"/>
          <w:b/>
        </w:rPr>
      </w:pPr>
    </w:p>
    <w:p>
      <w:pPr>
        <w:spacing w:line="360" w:lineRule="auto"/>
        <w:rPr>
          <w:rFonts w:hint="eastAsia" w:ascii="宋体" w:hAnsi="宋体"/>
          <w:b/>
        </w:rPr>
      </w:pPr>
    </w:p>
    <w:p>
      <w:pPr>
        <w:spacing w:line="360" w:lineRule="auto"/>
        <w:jc w:val="left"/>
      </w:pPr>
      <w:r>
        <w:rPr>
          <w:rFonts w:hint="eastAsia"/>
        </w:rPr>
        <w:t>1.1  报价时，应填写并提交规定的全部表格，以及其它有关资料。</w:t>
      </w:r>
    </w:p>
    <w:p>
      <w:pPr>
        <w:spacing w:line="360" w:lineRule="auto"/>
        <w:jc w:val="left"/>
        <w:rPr>
          <w:rStyle w:val="33"/>
          <w:color w:val="auto"/>
        </w:rPr>
      </w:pPr>
      <w:r>
        <w:t xml:space="preserve">1.2 </w:t>
      </w:r>
      <w:r>
        <w:rPr>
          <w:rFonts w:hint="eastAsia"/>
        </w:rPr>
        <w:t xml:space="preserve"> 对所附表格中要求的资料和询问应做出肯定的回答。</w:t>
      </w:r>
      <w:r>
        <w:t xml:space="preserve"> </w:t>
      </w:r>
    </w:p>
    <w:p>
      <w:pPr>
        <w:spacing w:line="360" w:lineRule="auto"/>
        <w:jc w:val="left"/>
      </w:pPr>
      <w:r>
        <w:t xml:space="preserve">1.3 </w:t>
      </w:r>
      <w:r>
        <w:rPr>
          <w:rFonts w:hint="eastAsia"/>
        </w:rPr>
        <w:t xml:space="preserve"> 资格文件的签字人应保证他所做的声明及对一切问题的回答的真实性和准确性。</w:t>
      </w:r>
    </w:p>
    <w:p>
      <w:pPr>
        <w:spacing w:line="360" w:lineRule="auto"/>
        <w:jc w:val="left"/>
      </w:pPr>
      <w:r>
        <w:t xml:space="preserve">1.4 </w:t>
      </w:r>
      <w:r>
        <w:rPr>
          <w:rFonts w:hint="eastAsia"/>
        </w:rPr>
        <w:t xml:space="preserve"> 供应商提供的资格文件将由竞争性磋商小组使用，并据此进行评价和判断，确定供应商的资格和履约能力。</w:t>
      </w:r>
    </w:p>
    <w:p>
      <w:pPr>
        <w:spacing w:line="360" w:lineRule="auto"/>
        <w:jc w:val="left"/>
      </w:pPr>
      <w:r>
        <w:t xml:space="preserve">1.5 </w:t>
      </w:r>
      <w:r>
        <w:rPr>
          <w:rFonts w:hint="eastAsia"/>
        </w:rPr>
        <w:t xml:space="preserve"> 供应商提交的文件将给予保密，但不退还。</w:t>
      </w:r>
    </w:p>
    <w:p>
      <w:pPr>
        <w:spacing w:line="360" w:lineRule="auto"/>
        <w:jc w:val="left"/>
        <w:rPr>
          <w:rFonts w:hint="eastAsia"/>
        </w:rPr>
      </w:pPr>
      <w:r>
        <w:t xml:space="preserve">1.6 </w:t>
      </w:r>
      <w:r>
        <w:rPr>
          <w:rFonts w:hint="eastAsia"/>
        </w:rPr>
        <w:t xml:space="preserve"> 全部文件应按照竞争性磋商文件中规定的语言和份数提交。按供应商须知封装。</w:t>
      </w:r>
    </w:p>
    <w:p>
      <w:pPr>
        <w:spacing w:line="360" w:lineRule="auto"/>
        <w:jc w:val="left"/>
      </w:pPr>
      <w:r>
        <w:rPr>
          <w:rFonts w:hint="eastAsia"/>
        </w:rPr>
        <w:t xml:space="preserve">1.7  </w:t>
      </w:r>
      <w:r>
        <w:rPr>
          <w:rFonts w:hint="eastAsia"/>
          <w:b/>
        </w:rPr>
        <w:t>提供的全部文件，如是复印件，须加盖公章。</w:t>
      </w:r>
    </w:p>
    <w:p>
      <w:pPr>
        <w:spacing w:line="360" w:lineRule="auto"/>
        <w:jc w:val="center"/>
        <w:rPr>
          <w:rFonts w:hint="eastAsia"/>
          <w:b/>
          <w:color w:val="FF0000"/>
          <w:sz w:val="28"/>
        </w:rPr>
      </w:pPr>
    </w:p>
    <w:p>
      <w:pPr>
        <w:spacing w:line="360" w:lineRule="auto"/>
        <w:rPr>
          <w:rFonts w:hint="eastAsia"/>
          <w:b/>
          <w:color w:val="FF0000"/>
          <w:sz w:val="28"/>
        </w:rPr>
      </w:pPr>
    </w:p>
    <w:p>
      <w:pPr>
        <w:spacing w:line="360" w:lineRule="auto"/>
        <w:jc w:val="center"/>
        <w:rPr>
          <w:rFonts w:hint="eastAsia"/>
          <w:b/>
          <w:sz w:val="28"/>
        </w:rPr>
      </w:pPr>
      <w:r>
        <w:rPr>
          <w:b/>
          <w:color w:val="FF0000"/>
          <w:sz w:val="28"/>
        </w:rPr>
        <w:br w:type="page"/>
      </w:r>
      <w:r>
        <w:rPr>
          <w:rFonts w:hint="eastAsia"/>
          <w:b/>
          <w:sz w:val="28"/>
        </w:rPr>
        <w:t>7-1</w:t>
      </w:r>
      <w:bookmarkStart w:id="77" w:name="fujian36"/>
      <w:bookmarkEnd w:id="77"/>
      <w:bookmarkStart w:id="78" w:name="FUJIAN81"/>
      <w:bookmarkEnd w:id="78"/>
      <w:r>
        <w:rPr>
          <w:rFonts w:hint="eastAsia"/>
          <w:b/>
          <w:sz w:val="28"/>
        </w:rPr>
        <w:t xml:space="preserve"> 关于资格的声明函</w:t>
      </w:r>
    </w:p>
    <w:p>
      <w:pPr>
        <w:spacing w:line="360" w:lineRule="auto"/>
        <w:jc w:val="center"/>
        <w:rPr>
          <w:rFonts w:hint="eastAsia" w:ascii="宋体" w:hAnsi="宋体"/>
          <w:b/>
          <w:color w:val="FF0000"/>
        </w:rPr>
      </w:pPr>
      <w:r>
        <w:rPr>
          <w:rFonts w:hint="eastAsia" w:ascii="宋体" w:hAnsi="宋体"/>
          <w:b/>
          <w:color w:val="FF0000"/>
        </w:rPr>
        <w:t xml:space="preserve"> </w:t>
      </w:r>
    </w:p>
    <w:p>
      <w:pPr>
        <w:spacing w:line="360" w:lineRule="auto"/>
      </w:pPr>
      <w:r>
        <w:t>致：</w:t>
      </w:r>
      <w:r>
        <w:rPr>
          <w:rFonts w:hint="eastAsia" w:ascii="宋体" w:hAnsi="宋体"/>
          <w:szCs w:val="21"/>
          <w:u w:val="single"/>
        </w:rPr>
        <w:t>深圳市东方招标有限公司</w:t>
      </w:r>
    </w:p>
    <w:p>
      <w:pPr>
        <w:spacing w:line="360" w:lineRule="auto"/>
      </w:pPr>
      <w:r>
        <w:t xml:space="preserve">    关于贵司</w:t>
      </w:r>
      <w:r>
        <w:rPr>
          <w:u w:val="single"/>
        </w:rPr>
        <w:t xml:space="preserve">         </w:t>
      </w:r>
      <w:r>
        <w:t>年</w:t>
      </w:r>
      <w:r>
        <w:rPr>
          <w:u w:val="single"/>
        </w:rPr>
        <w:t xml:space="preserve">      </w:t>
      </w:r>
      <w:r>
        <w:t>月</w:t>
      </w:r>
      <w:r>
        <w:rPr>
          <w:u w:val="single"/>
        </w:rPr>
        <w:t xml:space="preserve">     </w:t>
      </w:r>
      <w:r>
        <w:t>日</w:t>
      </w:r>
      <w:r>
        <w:rPr>
          <w:u w:val="single"/>
        </w:rPr>
        <w:t xml:space="preserve">         </w:t>
      </w:r>
      <w:r>
        <w:rPr>
          <w:rFonts w:hint="eastAsia"/>
          <w:u w:val="single"/>
        </w:rPr>
        <w:t xml:space="preserve"> </w:t>
      </w:r>
      <w:r>
        <w:rPr>
          <w:u w:val="single"/>
        </w:rPr>
        <w:t xml:space="preserve">  （</w:t>
      </w:r>
      <w:r>
        <w:rPr>
          <w:rFonts w:hint="eastAsia"/>
          <w:u w:val="single"/>
        </w:rPr>
        <w:t>项目</w:t>
      </w:r>
      <w:r>
        <w:rPr>
          <w:u w:val="single"/>
        </w:rPr>
        <w:t>编号）</w:t>
      </w:r>
      <w:r>
        <w:rPr>
          <w:rFonts w:hint="eastAsia"/>
        </w:rPr>
        <w:t>竞争性磋商邀请</w:t>
      </w:r>
      <w:r>
        <w:t>，我方愿意参与</w:t>
      </w:r>
      <w:r>
        <w:rPr>
          <w:rFonts w:hint="eastAsia"/>
        </w:rPr>
        <w:t>报价</w:t>
      </w:r>
      <w:r>
        <w:t>，提供竞争性磋商文件规定的</w:t>
      </w:r>
      <w:r>
        <w:rPr>
          <w:u w:val="single"/>
        </w:rPr>
        <w:t xml:space="preserve">               （</w:t>
      </w:r>
      <w:r>
        <w:rPr>
          <w:rFonts w:hint="eastAsia"/>
          <w:u w:val="single"/>
        </w:rPr>
        <w:t>标的内容或项目</w:t>
      </w:r>
      <w:r>
        <w:rPr>
          <w:u w:val="single"/>
        </w:rPr>
        <w:t>名称）</w:t>
      </w:r>
      <w:r>
        <w:t>，并保证提交的下列文件和说明是准确的和真实的。</w:t>
      </w:r>
    </w:p>
    <w:p>
      <w:pPr>
        <w:spacing w:line="360" w:lineRule="auto"/>
        <w:ind w:firstLine="420" w:firstLineChars="200"/>
      </w:pPr>
      <w:r>
        <w:rPr>
          <w:rFonts w:hint="eastAsia"/>
        </w:rPr>
        <w:t>1、</w:t>
      </w:r>
      <w:r>
        <w:t>由（工商管理部门）签发的我方工商营业执照副本复印件</w:t>
      </w:r>
      <w:r>
        <w:rPr>
          <w:rFonts w:hint="eastAsia"/>
        </w:rPr>
        <w:t>（</w:t>
      </w:r>
      <w:r>
        <w:t>加盖公章</w:t>
      </w:r>
      <w:r>
        <w:rPr>
          <w:rFonts w:hint="eastAsia"/>
        </w:rPr>
        <w:t>）</w:t>
      </w:r>
      <w:r>
        <w:t>一份。</w:t>
      </w:r>
    </w:p>
    <w:p>
      <w:pPr>
        <w:spacing w:line="360" w:lineRule="auto"/>
        <w:ind w:firstLine="420" w:firstLineChars="200"/>
      </w:pPr>
      <w:r>
        <w:rPr>
          <w:rFonts w:hint="eastAsia"/>
        </w:rPr>
        <w:t>2、</w:t>
      </w:r>
      <w:r>
        <w:t>竞争性磋商文件要求提供的其他资格证明文件。</w:t>
      </w:r>
    </w:p>
    <w:p>
      <w:pPr>
        <w:spacing w:line="360" w:lineRule="auto"/>
        <w:ind w:left="570"/>
      </w:pPr>
    </w:p>
    <w:p>
      <w:pPr>
        <w:spacing w:line="360" w:lineRule="auto"/>
        <w:ind w:left="570"/>
      </w:pPr>
      <w:r>
        <w:t>下述签字人确认资格文件中的说明是</w:t>
      </w:r>
      <w:r>
        <w:rPr>
          <w:rFonts w:hint="eastAsia"/>
        </w:rPr>
        <w:t>真实的、准确的。</w:t>
      </w:r>
    </w:p>
    <w:p>
      <w:pPr>
        <w:spacing w:line="360" w:lineRule="auto"/>
      </w:pPr>
    </w:p>
    <w:tbl>
      <w:tblPr>
        <w:tblStyle w:val="26"/>
        <w:tblW w:w="0" w:type="auto"/>
        <w:jc w:val="center"/>
        <w:tblLayout w:type="autofit"/>
        <w:tblCellMar>
          <w:top w:w="0" w:type="dxa"/>
          <w:left w:w="108" w:type="dxa"/>
          <w:bottom w:w="0" w:type="dxa"/>
          <w:right w:w="108" w:type="dxa"/>
        </w:tblCellMar>
      </w:tblPr>
      <w:tblGrid>
        <w:gridCol w:w="2132"/>
        <w:gridCol w:w="2132"/>
        <w:gridCol w:w="1373"/>
        <w:gridCol w:w="2892"/>
      </w:tblGrid>
      <w:tr>
        <w:tblPrEx>
          <w:tblCellMar>
            <w:top w:w="0" w:type="dxa"/>
            <w:left w:w="108" w:type="dxa"/>
            <w:bottom w:w="0" w:type="dxa"/>
            <w:right w:w="108" w:type="dxa"/>
          </w:tblCellMar>
        </w:tblPrEx>
        <w:trPr>
          <w:trHeight w:val="524" w:hRule="atLeast"/>
          <w:jc w:val="center"/>
        </w:trPr>
        <w:tc>
          <w:tcPr>
            <w:tcW w:w="2132" w:type="dxa"/>
            <w:noWrap w:val="0"/>
            <w:vAlign w:val="center"/>
          </w:tcPr>
          <w:p>
            <w:pPr>
              <w:widowControl/>
              <w:jc w:val="right"/>
              <w:rPr>
                <w:rFonts w:hAnsi="宋体"/>
                <w:kern w:val="0"/>
                <w:szCs w:val="21"/>
              </w:rPr>
            </w:pPr>
            <w:r>
              <w:rPr>
                <w:rFonts w:hint="eastAsia" w:hAnsi="宋体"/>
                <w:kern w:val="0"/>
                <w:szCs w:val="21"/>
              </w:rPr>
              <w:t>投标人名称（</w:t>
            </w:r>
            <w:r>
              <w:rPr>
                <w:rFonts w:hint="eastAsia" w:ascii="宋体" w:hAnsi="宋体"/>
                <w:b/>
                <w:szCs w:val="21"/>
              </w:rPr>
              <w:t>公章</w:t>
            </w:r>
            <w:r>
              <w:rPr>
                <w:rFonts w:hint="eastAsia" w:hAnsi="宋体"/>
                <w:kern w:val="0"/>
                <w:szCs w:val="21"/>
              </w:rPr>
              <w:t>）：</w:t>
            </w:r>
          </w:p>
        </w:tc>
        <w:tc>
          <w:tcPr>
            <w:tcW w:w="6397" w:type="dxa"/>
            <w:gridSpan w:val="3"/>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trHeight w:val="524" w:hRule="atLeast"/>
          <w:jc w:val="center"/>
        </w:trPr>
        <w:tc>
          <w:tcPr>
            <w:tcW w:w="2132" w:type="dxa"/>
            <w:noWrap w:val="0"/>
            <w:vAlign w:val="center"/>
          </w:tcPr>
          <w:p>
            <w:pPr>
              <w:widowControl/>
              <w:jc w:val="right"/>
              <w:rPr>
                <w:rFonts w:hAnsi="宋体"/>
                <w:kern w:val="0"/>
                <w:szCs w:val="21"/>
              </w:rPr>
            </w:pPr>
            <w:r>
              <w:rPr>
                <w:rFonts w:hint="eastAsia" w:hAnsi="宋体"/>
                <w:kern w:val="0"/>
                <w:szCs w:val="21"/>
              </w:rPr>
              <w:t>投标人地址：</w:t>
            </w:r>
          </w:p>
        </w:tc>
        <w:tc>
          <w:tcPr>
            <w:tcW w:w="6397" w:type="dxa"/>
            <w:gridSpan w:val="3"/>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trHeight w:val="692" w:hRule="atLeast"/>
          <w:jc w:val="center"/>
        </w:trPr>
        <w:tc>
          <w:tcPr>
            <w:tcW w:w="2132" w:type="dxa"/>
            <w:noWrap w:val="0"/>
            <w:vAlign w:val="center"/>
          </w:tcPr>
          <w:p>
            <w:pPr>
              <w:widowControl/>
              <w:jc w:val="right"/>
              <w:rPr>
                <w:rFonts w:hAnsi="宋体"/>
                <w:kern w:val="0"/>
                <w:szCs w:val="21"/>
              </w:rPr>
            </w:pPr>
            <w:r>
              <w:rPr>
                <w:rFonts w:hint="eastAsia" w:hAnsi="宋体"/>
                <w:kern w:val="0"/>
                <w:szCs w:val="21"/>
              </w:rPr>
              <w:t>投标人代表（</w:t>
            </w:r>
            <w:r>
              <w:rPr>
                <w:rFonts w:hint="eastAsia" w:ascii="宋体" w:hAnsi="宋体"/>
                <w:b/>
                <w:szCs w:val="21"/>
              </w:rPr>
              <w:t>签字</w:t>
            </w:r>
            <w:r>
              <w:rPr>
                <w:rFonts w:hint="eastAsia" w:hAnsi="宋体"/>
                <w:kern w:val="0"/>
                <w:szCs w:val="21"/>
              </w:rPr>
              <w:t>）：</w:t>
            </w:r>
          </w:p>
        </w:tc>
        <w:tc>
          <w:tcPr>
            <w:tcW w:w="2132" w:type="dxa"/>
            <w:noWrap w:val="0"/>
            <w:vAlign w:val="center"/>
          </w:tcPr>
          <w:p>
            <w:pPr>
              <w:widowControl/>
              <w:jc w:val="left"/>
              <w:rPr>
                <w:rFonts w:hAnsi="宋体"/>
                <w:kern w:val="0"/>
                <w:szCs w:val="21"/>
              </w:rPr>
            </w:pPr>
          </w:p>
        </w:tc>
        <w:tc>
          <w:tcPr>
            <w:tcW w:w="1373" w:type="dxa"/>
            <w:noWrap w:val="0"/>
            <w:vAlign w:val="center"/>
          </w:tcPr>
          <w:p>
            <w:pPr>
              <w:widowControl/>
              <w:jc w:val="right"/>
              <w:rPr>
                <w:rFonts w:hAnsi="宋体"/>
                <w:kern w:val="0"/>
                <w:szCs w:val="21"/>
              </w:rPr>
            </w:pPr>
            <w:r>
              <w:rPr>
                <w:rFonts w:hint="eastAsia" w:hAnsi="宋体"/>
                <w:kern w:val="0"/>
                <w:szCs w:val="21"/>
              </w:rPr>
              <w:t>部门及职务：</w:t>
            </w:r>
          </w:p>
        </w:tc>
        <w:tc>
          <w:tcPr>
            <w:tcW w:w="2892" w:type="dxa"/>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trHeight w:val="524" w:hRule="atLeast"/>
          <w:jc w:val="center"/>
        </w:trPr>
        <w:tc>
          <w:tcPr>
            <w:tcW w:w="2132" w:type="dxa"/>
            <w:noWrap w:val="0"/>
            <w:vAlign w:val="center"/>
          </w:tcPr>
          <w:p>
            <w:pPr>
              <w:widowControl/>
              <w:jc w:val="right"/>
              <w:rPr>
                <w:rFonts w:hAnsi="宋体"/>
                <w:kern w:val="0"/>
                <w:szCs w:val="21"/>
              </w:rPr>
            </w:pPr>
            <w:r>
              <w:rPr>
                <w:rFonts w:hint="eastAsia" w:hAnsi="宋体"/>
                <w:kern w:val="0"/>
                <w:szCs w:val="21"/>
              </w:rPr>
              <w:t>手机号码：</w:t>
            </w:r>
          </w:p>
        </w:tc>
        <w:tc>
          <w:tcPr>
            <w:tcW w:w="2132" w:type="dxa"/>
            <w:noWrap w:val="0"/>
            <w:vAlign w:val="center"/>
          </w:tcPr>
          <w:p>
            <w:pPr>
              <w:widowControl/>
              <w:jc w:val="left"/>
              <w:rPr>
                <w:rFonts w:hAnsi="宋体"/>
                <w:kern w:val="0"/>
                <w:szCs w:val="21"/>
              </w:rPr>
            </w:pPr>
          </w:p>
        </w:tc>
        <w:tc>
          <w:tcPr>
            <w:tcW w:w="1373" w:type="dxa"/>
            <w:noWrap w:val="0"/>
            <w:vAlign w:val="center"/>
          </w:tcPr>
          <w:p>
            <w:pPr>
              <w:widowControl/>
              <w:jc w:val="right"/>
              <w:rPr>
                <w:rFonts w:hAnsi="宋体"/>
                <w:kern w:val="0"/>
                <w:szCs w:val="21"/>
              </w:rPr>
            </w:pPr>
            <w:r>
              <w:rPr>
                <w:rFonts w:hint="eastAsia" w:hAnsi="宋体"/>
                <w:kern w:val="0"/>
                <w:szCs w:val="21"/>
              </w:rPr>
              <w:t>电子信箱：</w:t>
            </w:r>
          </w:p>
        </w:tc>
        <w:tc>
          <w:tcPr>
            <w:tcW w:w="2892" w:type="dxa"/>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trHeight w:val="524" w:hRule="atLeast"/>
          <w:jc w:val="center"/>
        </w:trPr>
        <w:tc>
          <w:tcPr>
            <w:tcW w:w="2132" w:type="dxa"/>
            <w:noWrap w:val="0"/>
            <w:vAlign w:val="center"/>
          </w:tcPr>
          <w:p>
            <w:pPr>
              <w:widowControl/>
              <w:jc w:val="right"/>
              <w:rPr>
                <w:rFonts w:hAnsi="宋体"/>
                <w:kern w:val="0"/>
                <w:szCs w:val="21"/>
              </w:rPr>
            </w:pPr>
            <w:r>
              <w:rPr>
                <w:rFonts w:hint="eastAsia" w:hAnsi="宋体"/>
                <w:kern w:val="0"/>
                <w:szCs w:val="21"/>
              </w:rPr>
              <w:t>固定电话：</w:t>
            </w:r>
          </w:p>
        </w:tc>
        <w:tc>
          <w:tcPr>
            <w:tcW w:w="2132" w:type="dxa"/>
            <w:noWrap w:val="0"/>
            <w:vAlign w:val="center"/>
          </w:tcPr>
          <w:p>
            <w:pPr>
              <w:widowControl/>
              <w:jc w:val="left"/>
              <w:rPr>
                <w:rFonts w:hAnsi="宋体"/>
                <w:kern w:val="0"/>
                <w:szCs w:val="21"/>
              </w:rPr>
            </w:pPr>
          </w:p>
        </w:tc>
        <w:tc>
          <w:tcPr>
            <w:tcW w:w="1373" w:type="dxa"/>
            <w:noWrap w:val="0"/>
            <w:vAlign w:val="center"/>
          </w:tcPr>
          <w:p>
            <w:pPr>
              <w:widowControl/>
              <w:jc w:val="right"/>
              <w:rPr>
                <w:rFonts w:hAnsi="宋体"/>
                <w:kern w:val="0"/>
                <w:szCs w:val="21"/>
              </w:rPr>
            </w:pPr>
            <w:r>
              <w:rPr>
                <w:rFonts w:hint="eastAsia" w:hAnsi="宋体"/>
                <w:kern w:val="0"/>
                <w:szCs w:val="21"/>
              </w:rPr>
              <w:t>传真号码：</w:t>
            </w:r>
          </w:p>
        </w:tc>
        <w:tc>
          <w:tcPr>
            <w:tcW w:w="2892" w:type="dxa"/>
            <w:noWrap w:val="0"/>
            <w:vAlign w:val="center"/>
          </w:tcPr>
          <w:p>
            <w:pPr>
              <w:widowControl/>
              <w:jc w:val="left"/>
              <w:rPr>
                <w:rFonts w:hAnsi="宋体"/>
                <w:kern w:val="0"/>
                <w:szCs w:val="21"/>
              </w:rPr>
            </w:pPr>
          </w:p>
        </w:tc>
      </w:tr>
      <w:tr>
        <w:tblPrEx>
          <w:tblCellMar>
            <w:top w:w="0" w:type="dxa"/>
            <w:left w:w="108" w:type="dxa"/>
            <w:bottom w:w="0" w:type="dxa"/>
            <w:right w:w="108" w:type="dxa"/>
          </w:tblCellMar>
        </w:tblPrEx>
        <w:trPr>
          <w:trHeight w:val="524" w:hRule="atLeast"/>
          <w:jc w:val="center"/>
        </w:trPr>
        <w:tc>
          <w:tcPr>
            <w:tcW w:w="2132" w:type="dxa"/>
            <w:noWrap w:val="0"/>
            <w:vAlign w:val="center"/>
          </w:tcPr>
          <w:p>
            <w:pPr>
              <w:widowControl/>
              <w:jc w:val="right"/>
              <w:rPr>
                <w:rFonts w:hAnsi="宋体"/>
                <w:kern w:val="0"/>
                <w:szCs w:val="21"/>
              </w:rPr>
            </w:pPr>
            <w:r>
              <w:rPr>
                <w:rFonts w:hint="eastAsia" w:hAnsi="宋体"/>
                <w:kern w:val="0"/>
                <w:szCs w:val="21"/>
              </w:rPr>
              <w:t>邮政邮编：</w:t>
            </w:r>
          </w:p>
        </w:tc>
        <w:tc>
          <w:tcPr>
            <w:tcW w:w="2132" w:type="dxa"/>
            <w:noWrap w:val="0"/>
            <w:vAlign w:val="center"/>
          </w:tcPr>
          <w:p>
            <w:pPr>
              <w:widowControl/>
              <w:jc w:val="left"/>
              <w:rPr>
                <w:rFonts w:hAnsi="宋体"/>
                <w:kern w:val="0"/>
                <w:szCs w:val="21"/>
              </w:rPr>
            </w:pPr>
          </w:p>
        </w:tc>
        <w:tc>
          <w:tcPr>
            <w:tcW w:w="1373" w:type="dxa"/>
            <w:noWrap w:val="0"/>
            <w:vAlign w:val="center"/>
          </w:tcPr>
          <w:p>
            <w:pPr>
              <w:widowControl/>
              <w:jc w:val="center"/>
              <w:rPr>
                <w:rFonts w:hAnsi="宋体"/>
                <w:kern w:val="0"/>
                <w:szCs w:val="21"/>
              </w:rPr>
            </w:pPr>
            <w:r>
              <w:rPr>
                <w:rFonts w:hint="eastAsia" w:ascii="宋体" w:hAnsi="宋体"/>
                <w:szCs w:val="21"/>
              </w:rPr>
              <w:t>日期：</w:t>
            </w:r>
          </w:p>
        </w:tc>
        <w:tc>
          <w:tcPr>
            <w:tcW w:w="2892" w:type="dxa"/>
            <w:noWrap w:val="0"/>
            <w:vAlign w:val="center"/>
          </w:tcPr>
          <w:p>
            <w:pPr>
              <w:widowControl/>
              <w:jc w:val="left"/>
              <w:rPr>
                <w:rFonts w:hAnsi="宋体"/>
                <w:kern w:val="0"/>
                <w:szCs w:val="21"/>
              </w:rPr>
            </w:pPr>
            <w:r>
              <w:rPr>
                <w:rFonts w:hint="eastAsia" w:ascii="宋体" w:hAnsi="宋体"/>
                <w:szCs w:val="21"/>
              </w:rPr>
              <w:t>20   年   月    日</w:t>
            </w:r>
          </w:p>
        </w:tc>
      </w:tr>
    </w:tbl>
    <w:p>
      <w:pPr>
        <w:spacing w:line="360" w:lineRule="auto"/>
        <w:rPr>
          <w:rFonts w:hint="eastAsia"/>
          <w:b/>
          <w:color w:val="FF0000"/>
          <w:sz w:val="28"/>
        </w:rPr>
      </w:pPr>
    </w:p>
    <w:p>
      <w:pPr>
        <w:spacing w:line="360" w:lineRule="auto"/>
        <w:jc w:val="center"/>
        <w:rPr>
          <w:rFonts w:hint="eastAsia"/>
          <w:b/>
          <w:sz w:val="28"/>
        </w:rPr>
      </w:pPr>
      <w:r>
        <w:rPr>
          <w:b/>
          <w:color w:val="FF0000"/>
          <w:sz w:val="28"/>
        </w:rPr>
        <w:br w:type="page"/>
      </w:r>
      <w:r>
        <w:rPr>
          <w:rFonts w:hint="eastAsia"/>
          <w:b/>
          <w:sz w:val="28"/>
        </w:rPr>
        <w:t>7-2</w:t>
      </w:r>
      <w:bookmarkStart w:id="79" w:name="FUJIAN82"/>
      <w:bookmarkEnd w:id="79"/>
      <w:bookmarkStart w:id="80" w:name="fujian37"/>
      <w:bookmarkEnd w:id="80"/>
      <w:r>
        <w:rPr>
          <w:rFonts w:hint="eastAsia"/>
          <w:b/>
          <w:sz w:val="28"/>
        </w:rPr>
        <w:t>营业执照副本（复印件加盖公章）</w:t>
      </w:r>
    </w:p>
    <w:p>
      <w:pPr>
        <w:spacing w:line="360" w:lineRule="auto"/>
        <w:jc w:val="center"/>
        <w:rPr>
          <w:rFonts w:hint="eastAsia" w:ascii="宋体" w:hAnsi="宋体"/>
          <w:szCs w:val="21"/>
        </w:rPr>
      </w:pPr>
      <w:r>
        <w:rPr>
          <w:rFonts w:hint="eastAsia" w:ascii="宋体" w:hAnsi="宋体"/>
          <w:szCs w:val="21"/>
        </w:rPr>
        <w:t>提供营业执照（或事业单位法人证书，或社会团体法人登记证书，或执业许可证等证明文件）复印件</w:t>
      </w:r>
    </w:p>
    <w:p>
      <w:pPr>
        <w:spacing w:line="360" w:lineRule="auto"/>
        <w:jc w:val="center"/>
        <w:rPr>
          <w:rFonts w:hint="eastAsia" w:ascii="宋体" w:hAnsi="宋体"/>
          <w:color w:val="FF0000"/>
          <w:szCs w:val="21"/>
        </w:rPr>
      </w:pPr>
    </w:p>
    <w:p>
      <w:pPr>
        <w:spacing w:line="360" w:lineRule="auto"/>
        <w:jc w:val="center"/>
        <w:rPr>
          <w:rFonts w:hint="eastAsia" w:ascii="宋体" w:hAnsi="宋体"/>
          <w:szCs w:val="21"/>
        </w:rPr>
      </w:pPr>
      <w:r>
        <w:rPr>
          <w:rFonts w:ascii="宋体" w:hAnsi="宋体"/>
          <w:color w:val="FF0000"/>
          <w:szCs w:val="21"/>
        </w:rPr>
        <w:br w:type="page"/>
      </w:r>
      <w:r>
        <w:rPr>
          <w:rFonts w:hint="eastAsia"/>
          <w:b/>
          <w:sz w:val="28"/>
        </w:rPr>
        <w:t>7-3 政府采购投标及履约承诺函</w:t>
      </w:r>
    </w:p>
    <w:p>
      <w:pPr>
        <w:rPr>
          <w:rFonts w:hint="eastAsia" w:ascii="宋体" w:hAnsi="宋体"/>
          <w:szCs w:val="21"/>
        </w:rPr>
      </w:pPr>
    </w:p>
    <w:p>
      <w:pPr>
        <w:rPr>
          <w:rFonts w:hint="eastAsia" w:ascii="宋体" w:hAnsi="宋体"/>
          <w:szCs w:val="21"/>
        </w:rPr>
      </w:pPr>
      <w:r>
        <w:rPr>
          <w:rFonts w:hint="eastAsia" w:ascii="宋体" w:hAnsi="宋体"/>
          <w:szCs w:val="21"/>
        </w:rPr>
        <w:t>致：</w:t>
      </w:r>
      <w:r>
        <w:rPr>
          <w:rFonts w:hint="eastAsia" w:ascii="宋体" w:hAnsi="宋体"/>
          <w:szCs w:val="21"/>
          <w:u w:val="single"/>
        </w:rPr>
        <w:t>深圳市东方招标有限公司</w:t>
      </w:r>
    </w:p>
    <w:p>
      <w:pPr>
        <w:spacing w:line="400" w:lineRule="exact"/>
        <w:ind w:right="-815" w:firstLine="630" w:firstLineChars="300"/>
        <w:rPr>
          <w:rFonts w:ascii="宋体" w:hAnsi="宋体"/>
          <w:szCs w:val="21"/>
        </w:rPr>
      </w:pPr>
      <w:r>
        <w:rPr>
          <w:rFonts w:hint="eastAsia" w:ascii="宋体" w:hAnsi="宋体"/>
          <w:szCs w:val="21"/>
        </w:rPr>
        <w:t>我公司承诺：</w:t>
      </w:r>
    </w:p>
    <w:p>
      <w:pPr>
        <w:spacing w:line="400" w:lineRule="exact"/>
        <w:ind w:firstLine="645"/>
        <w:rPr>
          <w:rFonts w:hint="eastAsia" w:ascii="宋体" w:hAnsi="宋体"/>
          <w:szCs w:val="21"/>
        </w:rPr>
      </w:pPr>
      <w:r>
        <w:rPr>
          <w:rFonts w:hint="eastAsia" w:ascii="宋体" w:hAnsi="宋体"/>
          <w:szCs w:val="21"/>
        </w:rPr>
        <w:t>1.我公司本招标项目所提供的货物或服务未侵犯知识产权。</w:t>
      </w:r>
    </w:p>
    <w:p>
      <w:pPr>
        <w:spacing w:line="400" w:lineRule="exact"/>
        <w:ind w:firstLine="645"/>
        <w:rPr>
          <w:rFonts w:hint="eastAsia" w:ascii="宋体" w:hAnsi="宋体"/>
          <w:b/>
          <w:szCs w:val="21"/>
        </w:rPr>
      </w:pPr>
      <w:r>
        <w:rPr>
          <w:rFonts w:hint="eastAsia" w:ascii="宋体" w:hAnsi="宋体"/>
          <w:b/>
          <w:szCs w:val="21"/>
        </w:rPr>
        <w:t>2.我公司参与本项目投标前三年内，在经营活动中没有重大违法记录。</w:t>
      </w:r>
    </w:p>
    <w:p>
      <w:pPr>
        <w:spacing w:line="400" w:lineRule="exact"/>
        <w:ind w:left="210" w:leftChars="100" w:firstLine="422" w:firstLineChars="200"/>
        <w:rPr>
          <w:rFonts w:hint="eastAsia" w:ascii="宋体" w:hAnsi="宋体"/>
          <w:b/>
          <w:szCs w:val="21"/>
        </w:rPr>
      </w:pPr>
      <w:r>
        <w:rPr>
          <w:rFonts w:hint="eastAsia" w:ascii="宋体" w:hAnsi="宋体"/>
          <w:b/>
          <w:szCs w:val="21"/>
        </w:rPr>
        <w:t>3.我公司参与本项目政府采购活动时不存在被有关部门禁止参与政府采购活动且在有效期内的情况。</w:t>
      </w:r>
    </w:p>
    <w:p>
      <w:pPr>
        <w:spacing w:line="400" w:lineRule="exact"/>
        <w:ind w:firstLine="645"/>
        <w:rPr>
          <w:rFonts w:hint="eastAsia" w:ascii="宋体" w:hAnsi="宋体"/>
          <w:b/>
          <w:szCs w:val="21"/>
        </w:rPr>
      </w:pPr>
      <w:r>
        <w:rPr>
          <w:rFonts w:hint="eastAsia" w:ascii="宋体" w:hAnsi="宋体"/>
          <w:b/>
          <w:szCs w:val="21"/>
        </w:rPr>
        <w:t>4.我公司具备《中华人民共和国政府采购法》第二十二条规定的条件。</w:t>
      </w:r>
    </w:p>
    <w:p>
      <w:pPr>
        <w:spacing w:line="400" w:lineRule="exact"/>
        <w:ind w:left="210" w:leftChars="100" w:firstLine="422" w:firstLineChars="200"/>
        <w:rPr>
          <w:rFonts w:hint="eastAsia" w:ascii="宋体" w:hAnsi="宋体"/>
          <w:szCs w:val="21"/>
        </w:rPr>
      </w:pPr>
      <w:r>
        <w:rPr>
          <w:rFonts w:hint="eastAsia" w:ascii="宋体" w:hAnsi="宋体"/>
          <w:b/>
          <w:szCs w:val="21"/>
        </w:rPr>
        <w:t>5.我公司未被列入失信被执行人、重大税收违法案件当事人名单、政府采购严重违法失信行为记录名单。</w:t>
      </w:r>
    </w:p>
    <w:p>
      <w:pPr>
        <w:spacing w:line="400" w:lineRule="exact"/>
        <w:ind w:left="210" w:leftChars="100" w:firstLine="420" w:firstLineChars="200"/>
        <w:rPr>
          <w:rFonts w:hint="eastAsia" w:ascii="宋体" w:hAnsi="宋体"/>
          <w:szCs w:val="21"/>
        </w:rPr>
      </w:pPr>
      <w:r>
        <w:rPr>
          <w:rFonts w:hint="eastAsia" w:ascii="宋体" w:hAnsi="宋体"/>
          <w:szCs w:val="21"/>
        </w:rPr>
        <w:t>6.我公司参与该项目投标，严格遵循公平竞争的原则，不恶意串通，不妨碍其他投标人 的竞争行为，不损害采购人或者其他投标人的合法权益。我公司已清楚，如违反上述要求，将作投标无效处理。</w:t>
      </w:r>
    </w:p>
    <w:p>
      <w:pPr>
        <w:spacing w:line="400" w:lineRule="exact"/>
        <w:ind w:left="210" w:leftChars="100" w:firstLine="420" w:firstLineChars="200"/>
        <w:rPr>
          <w:rFonts w:hint="eastAsia" w:ascii="宋体" w:hAnsi="宋体"/>
          <w:szCs w:val="21"/>
        </w:rPr>
      </w:pPr>
      <w:r>
        <w:rPr>
          <w:rFonts w:hint="eastAsia" w:ascii="宋体" w:hAnsi="宋体"/>
          <w:szCs w:val="21"/>
        </w:rPr>
        <w:t>7.我公司如果中标，做到守信，不偷工减料，依照本项目磋商文件需求内容、签署的采购合同及本公司在投标中所作的一切承诺履约。</w:t>
      </w:r>
    </w:p>
    <w:p>
      <w:pPr>
        <w:spacing w:line="400" w:lineRule="exact"/>
        <w:ind w:left="210" w:leftChars="100" w:firstLine="420" w:firstLineChars="200"/>
        <w:rPr>
          <w:rFonts w:hint="eastAsia" w:ascii="宋体" w:hAnsi="宋体"/>
          <w:szCs w:val="21"/>
        </w:rPr>
      </w:pPr>
      <w:r>
        <w:rPr>
          <w:rFonts w:hint="eastAsia" w:ascii="宋体" w:hAnsi="宋体"/>
          <w:szCs w:val="21"/>
        </w:rPr>
        <w:t>8.我公司承诺本项目的报价不低于我公司的成本价，否则，我公司清楚将面临投标无效的风险；我公司承诺不恶意低价谋取中标；我公司对本项目的报价负责，中标后将严格按照本项目磋商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 门的处理处罚。</w:t>
      </w:r>
    </w:p>
    <w:p>
      <w:pPr>
        <w:spacing w:line="400" w:lineRule="exact"/>
        <w:ind w:left="210" w:leftChars="100" w:firstLine="420" w:firstLineChars="200"/>
        <w:rPr>
          <w:rFonts w:ascii="宋体" w:hAnsi="宋体"/>
          <w:szCs w:val="21"/>
        </w:rPr>
      </w:pPr>
      <w:r>
        <w:rPr>
          <w:rFonts w:hint="eastAsia" w:ascii="宋体" w:hAnsi="宋体"/>
          <w:szCs w:val="21"/>
        </w:rPr>
        <w:t>9.我公司已认真核实了投标文件的全部内容，所有资料均为真实资料。我公司对投标文 件中全部投标资料的真实性负责，如被证实我公司的投标文件中存在虚假资料的，则视为我公司隐瞒真实情况、提供虚假资料，我公司愿意接受主管部门作出的行政处罚。</w:t>
      </w:r>
      <w:r>
        <w:rPr>
          <w:rFonts w:ascii="宋体" w:hAnsi="宋体"/>
          <w:szCs w:val="21"/>
        </w:rPr>
        <w:t xml:space="preserve"> </w:t>
      </w:r>
    </w:p>
    <w:p>
      <w:pPr>
        <w:spacing w:line="400" w:lineRule="exact"/>
        <w:ind w:left="210" w:leftChars="100" w:firstLine="420" w:firstLineChars="200"/>
        <w:rPr>
          <w:rFonts w:hint="eastAsia" w:ascii="宋体" w:hAnsi="宋体"/>
          <w:szCs w:val="21"/>
        </w:rPr>
      </w:pPr>
      <w:r>
        <w:rPr>
          <w:rFonts w:hint="eastAsia" w:ascii="宋体" w:hAnsi="宋体"/>
          <w:szCs w:val="21"/>
        </w:rPr>
        <w:t xml:space="preserve">10.我公司承诺不非法转包、分包。 以上承诺，如有违反，愿依照国家相关法律处理，并承担由此给采购人带来的损失。 </w:t>
      </w:r>
    </w:p>
    <w:p>
      <w:pPr>
        <w:rPr>
          <w:rFonts w:hint="eastAsia"/>
        </w:rPr>
      </w:pPr>
    </w:p>
    <w:p>
      <w:pPr>
        <w:rPr>
          <w:rFonts w:hint="eastAsia"/>
        </w:rPr>
      </w:pPr>
    </w:p>
    <w:p>
      <w:pPr>
        <w:spacing w:line="480" w:lineRule="auto"/>
        <w:ind w:firstLine="435"/>
        <w:rPr>
          <w:u w:val="single"/>
        </w:rPr>
      </w:pPr>
      <w:r>
        <w:rPr>
          <w:rFonts w:hint="eastAsia" w:ascii="宋体" w:hAnsi="宋体"/>
          <w:szCs w:val="21"/>
        </w:rPr>
        <w:t>投标单位（公章）：</w:t>
      </w:r>
      <w:r>
        <w:rPr>
          <w:rFonts w:hint="eastAsia" w:ascii="宋体" w:hAnsi="宋体"/>
          <w:szCs w:val="21"/>
          <w:u w:val="single"/>
        </w:rPr>
        <w:t xml:space="preserve">                               </w:t>
      </w:r>
    </w:p>
    <w:p>
      <w:pPr>
        <w:spacing w:line="480" w:lineRule="auto"/>
        <w:ind w:firstLine="420" w:firstLineChars="200"/>
        <w:rPr>
          <w:rFonts w:ascii="宋体" w:hAnsi="宋体"/>
          <w:szCs w:val="21"/>
          <w:u w:val="single"/>
        </w:rPr>
      </w:pPr>
      <w:r>
        <w:rPr>
          <w:rFonts w:hint="eastAsia" w:ascii="宋体" w:hAnsi="宋体"/>
          <w:szCs w:val="21"/>
        </w:rPr>
        <w:t>法定代表人或其授权代表签名：</w:t>
      </w:r>
      <w:r>
        <w:rPr>
          <w:rFonts w:hint="eastAsia" w:ascii="宋体" w:hAnsi="宋体"/>
          <w:szCs w:val="21"/>
          <w:u w:val="single"/>
        </w:rPr>
        <w:t xml:space="preserve">                    </w:t>
      </w:r>
    </w:p>
    <w:p>
      <w:pPr>
        <w:spacing w:line="360" w:lineRule="auto"/>
        <w:jc w:val="center"/>
        <w:rPr>
          <w:rFonts w:hint="eastAsia"/>
          <w:b/>
          <w:sz w:val="28"/>
        </w:rPr>
      </w:pPr>
      <w:bookmarkStart w:id="81" w:name="_Toc18758"/>
      <w:bookmarkStart w:id="82" w:name="_Toc47361471"/>
      <w:r>
        <w:rPr>
          <w:rFonts w:hint="eastAsia"/>
          <w:b/>
          <w:sz w:val="28"/>
        </w:rPr>
        <w:t>7-4非联合体投标的声明函</w:t>
      </w:r>
      <w:bookmarkEnd w:id="81"/>
      <w:bookmarkEnd w:id="82"/>
    </w:p>
    <w:p>
      <w:pPr>
        <w:spacing w:line="480" w:lineRule="exact"/>
        <w:rPr>
          <w:rFonts w:hint="eastAsia" w:ascii="宋体"/>
        </w:rPr>
      </w:pPr>
    </w:p>
    <w:p>
      <w:pPr>
        <w:spacing w:line="360" w:lineRule="auto"/>
        <w:rPr>
          <w:rFonts w:hint="eastAsia"/>
          <w:szCs w:val="21"/>
          <w:u w:val="single"/>
        </w:rPr>
      </w:pPr>
      <w:r>
        <w:rPr>
          <w:szCs w:val="21"/>
        </w:rPr>
        <w:t>致：</w:t>
      </w:r>
      <w:r>
        <w:rPr>
          <w:rFonts w:hint="eastAsia"/>
          <w:szCs w:val="21"/>
          <w:u w:val="single"/>
        </w:rPr>
        <w:t>深圳市东方招标有限公司</w:t>
      </w:r>
    </w:p>
    <w:p>
      <w:pPr>
        <w:pStyle w:val="12"/>
        <w:spacing w:line="400" w:lineRule="exact"/>
        <w:rPr>
          <w:rFonts w:hint="eastAsia"/>
        </w:rPr>
      </w:pPr>
    </w:p>
    <w:p>
      <w:pPr>
        <w:spacing w:line="360" w:lineRule="auto"/>
        <w:ind w:firstLine="435"/>
        <w:rPr>
          <w:rFonts w:hint="eastAsia"/>
        </w:rPr>
      </w:pPr>
      <w:r>
        <w:rPr>
          <w:szCs w:val="21"/>
        </w:rPr>
        <w:t>关于贵</w:t>
      </w:r>
      <w:r>
        <w:rPr>
          <w:rFonts w:hint="eastAsia"/>
          <w:szCs w:val="21"/>
        </w:rPr>
        <w:t>单位</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rFonts w:hint="eastAsia"/>
          <w:szCs w:val="21"/>
          <w:u w:val="single"/>
        </w:rPr>
        <w:t xml:space="preserve"> </w:t>
      </w:r>
      <w:r>
        <w:rPr>
          <w:szCs w:val="21"/>
          <w:u w:val="single"/>
        </w:rPr>
        <w:t xml:space="preserve"> 号</w:t>
      </w:r>
      <w:r>
        <w:rPr>
          <w:szCs w:val="21"/>
        </w:rPr>
        <w:t>（项目编号）</w:t>
      </w:r>
      <w:r>
        <w:rPr>
          <w:rFonts w:hint="eastAsia"/>
          <w:szCs w:val="21"/>
        </w:rPr>
        <w:t>投标邀请函</w:t>
      </w:r>
      <w:r>
        <w:rPr>
          <w:szCs w:val="21"/>
        </w:rPr>
        <w:t>，我方愿意参与</w:t>
      </w:r>
      <w:r>
        <w:rPr>
          <w:rFonts w:hint="eastAsia"/>
          <w:szCs w:val="21"/>
        </w:rPr>
        <w:t>投标</w:t>
      </w:r>
      <w:r>
        <w:rPr>
          <w:szCs w:val="21"/>
        </w:rPr>
        <w:t>，提供</w:t>
      </w:r>
      <w:r>
        <w:rPr>
          <w:rFonts w:hint="eastAsia"/>
          <w:szCs w:val="21"/>
        </w:rPr>
        <w:t>邀请函</w:t>
      </w:r>
      <w:r>
        <w:rPr>
          <w:szCs w:val="21"/>
        </w:rPr>
        <w:t>规定的</w:t>
      </w:r>
      <w:r>
        <w:rPr>
          <w:szCs w:val="21"/>
          <w:u w:val="single"/>
        </w:rPr>
        <w:t xml:space="preserve">                       </w:t>
      </w:r>
      <w:r>
        <w:rPr>
          <w:szCs w:val="21"/>
        </w:rPr>
        <w:t>（</w:t>
      </w:r>
      <w:r>
        <w:rPr>
          <w:rFonts w:hint="eastAsia"/>
          <w:szCs w:val="21"/>
        </w:rPr>
        <w:t>项目</w:t>
      </w:r>
      <w:r>
        <w:rPr>
          <w:szCs w:val="21"/>
        </w:rPr>
        <w:t>名称），并</w:t>
      </w:r>
      <w:r>
        <w:rPr>
          <w:rFonts w:hint="eastAsia"/>
          <w:szCs w:val="21"/>
        </w:rPr>
        <w:t>向贵单位</w:t>
      </w:r>
      <w:r>
        <w:rPr>
          <w:szCs w:val="21"/>
        </w:rPr>
        <w:t>保证</w:t>
      </w:r>
      <w:r>
        <w:rPr>
          <w:rFonts w:hint="eastAsia"/>
          <w:szCs w:val="21"/>
        </w:rPr>
        <w:t>我单位为独立投标，</w:t>
      </w:r>
      <w:r>
        <w:t>非联合体投标</w:t>
      </w:r>
      <w:r>
        <w:rPr>
          <w:rFonts w:hint="eastAsia"/>
        </w:rPr>
        <w:t>。</w:t>
      </w:r>
    </w:p>
    <w:p>
      <w:pPr>
        <w:spacing w:line="360" w:lineRule="auto"/>
        <w:ind w:firstLine="435"/>
        <w:rPr>
          <w:rFonts w:hint="eastAsia"/>
        </w:rPr>
      </w:pPr>
      <w:r>
        <w:rPr>
          <w:rFonts w:hint="eastAsia"/>
        </w:rPr>
        <w:t>如中标，我公司承诺不分包、不转包。</w:t>
      </w:r>
    </w:p>
    <w:p>
      <w:pPr>
        <w:spacing w:line="360" w:lineRule="auto"/>
        <w:ind w:firstLine="435"/>
        <w:rPr>
          <w:rFonts w:hint="eastAsia"/>
        </w:rPr>
      </w:pPr>
    </w:p>
    <w:p>
      <w:pPr>
        <w:spacing w:line="360" w:lineRule="auto"/>
        <w:ind w:firstLine="435"/>
        <w:rPr>
          <w:rFonts w:hint="eastAsia"/>
        </w:rPr>
      </w:pPr>
      <w:r>
        <w:rPr>
          <w:rFonts w:hint="eastAsia"/>
          <w:szCs w:val="21"/>
        </w:rPr>
        <w:t>供应商代表（签字）：</w:t>
      </w:r>
      <w:r>
        <w:rPr>
          <w:rFonts w:hint="eastAsia"/>
          <w:szCs w:val="21"/>
          <w:u w:val="single"/>
        </w:rPr>
        <w:t xml:space="preserve">                             </w:t>
      </w:r>
    </w:p>
    <w:p>
      <w:pPr>
        <w:ind w:firstLine="420" w:firstLineChars="200"/>
        <w:rPr>
          <w:rFonts w:hint="eastAsia" w:ascii="宋体" w:hAnsi="宋体"/>
          <w:szCs w:val="21"/>
        </w:rPr>
      </w:pPr>
    </w:p>
    <w:p>
      <w:pPr>
        <w:spacing w:line="360" w:lineRule="auto"/>
        <w:ind w:firstLine="435"/>
        <w:rPr>
          <w:rFonts w:hint="eastAsia" w:ascii="宋体" w:hAnsi="宋体"/>
          <w:szCs w:val="21"/>
        </w:rPr>
      </w:pPr>
      <w:r>
        <w:rPr>
          <w:rFonts w:hint="eastAsia"/>
          <w:szCs w:val="21"/>
        </w:rPr>
        <w:t>单位盖章（公章）：</w:t>
      </w:r>
      <w:r>
        <w:rPr>
          <w:rFonts w:hint="eastAsia"/>
          <w:szCs w:val="21"/>
          <w:u w:val="single"/>
        </w:rPr>
        <w:t xml:space="preserve">            </w:t>
      </w:r>
      <w:r>
        <w:rPr>
          <w:rFonts w:hint="eastAsia" w:ascii="宋体" w:hAnsi="宋体"/>
          <w:szCs w:val="21"/>
          <w:u w:val="single"/>
        </w:rPr>
        <w:t xml:space="preserve">                </w:t>
      </w:r>
    </w:p>
    <w:p>
      <w:pPr>
        <w:spacing w:line="360" w:lineRule="auto"/>
        <w:jc w:val="center"/>
        <w:rPr>
          <w:rFonts w:hint="eastAsia" w:ascii="宋体" w:hAnsi="宋体"/>
          <w:color w:val="FF0000"/>
          <w:szCs w:val="21"/>
        </w:rPr>
      </w:pPr>
    </w:p>
    <w:p>
      <w:pPr>
        <w:spacing w:line="360" w:lineRule="auto"/>
        <w:jc w:val="center"/>
        <w:rPr>
          <w:rFonts w:hint="eastAsia" w:ascii="宋体" w:hAnsi="宋体"/>
          <w:color w:val="FF0000"/>
          <w:szCs w:val="21"/>
        </w:rPr>
      </w:pPr>
    </w:p>
    <w:p>
      <w:pPr>
        <w:spacing w:line="400" w:lineRule="exact"/>
        <w:jc w:val="center"/>
        <w:rPr>
          <w:rFonts w:hint="eastAsia"/>
          <w:b/>
          <w:color w:val="FF0000"/>
          <w:sz w:val="28"/>
        </w:rPr>
      </w:pPr>
    </w:p>
    <w:p>
      <w:pPr>
        <w:spacing w:line="400" w:lineRule="exact"/>
        <w:jc w:val="center"/>
        <w:rPr>
          <w:rFonts w:hint="eastAsia"/>
          <w:b/>
          <w:sz w:val="28"/>
        </w:rPr>
      </w:pPr>
      <w:r>
        <w:rPr>
          <w:b/>
          <w:sz w:val="28"/>
        </w:rPr>
        <w:br w:type="page"/>
      </w:r>
      <w:r>
        <w:rPr>
          <w:rFonts w:hint="eastAsia"/>
          <w:b/>
          <w:sz w:val="28"/>
        </w:rPr>
        <w:t>7-</w:t>
      </w:r>
      <w:bookmarkStart w:id="83" w:name="fujian38"/>
      <w:bookmarkEnd w:id="83"/>
      <w:r>
        <w:rPr>
          <w:rFonts w:hint="eastAsia"/>
          <w:b/>
          <w:sz w:val="28"/>
        </w:rPr>
        <w:t xml:space="preserve">5 </w:t>
      </w:r>
      <w:bookmarkStart w:id="84" w:name="FUJIAN83"/>
      <w:bookmarkEnd w:id="84"/>
      <w:r>
        <w:rPr>
          <w:rFonts w:hint="eastAsia"/>
          <w:b/>
          <w:sz w:val="28"/>
        </w:rPr>
        <w:t>法定代表人证明书及法人授权委托证明书</w:t>
      </w:r>
    </w:p>
    <w:p>
      <w:pPr>
        <w:spacing w:line="400" w:lineRule="exact"/>
        <w:jc w:val="center"/>
        <w:rPr>
          <w:rFonts w:hint="eastAsia" w:ascii="宋体" w:hAnsi="宋体"/>
          <w:b/>
        </w:rPr>
      </w:pPr>
    </w:p>
    <w:p>
      <w:pPr>
        <w:spacing w:line="440" w:lineRule="exact"/>
        <w:jc w:val="center"/>
        <w:rPr>
          <w:rFonts w:hint="eastAsia" w:ascii="宋体" w:hAnsi="宋体"/>
          <w:b/>
          <w:bCs/>
          <w:sz w:val="24"/>
        </w:rPr>
      </w:pPr>
    </w:p>
    <w:p>
      <w:pPr>
        <w:spacing w:line="440" w:lineRule="exact"/>
        <w:jc w:val="center"/>
        <w:rPr>
          <w:rFonts w:hint="eastAsia" w:ascii="宋体" w:hAnsi="宋体"/>
          <w:b/>
          <w:bCs/>
          <w:sz w:val="24"/>
        </w:rPr>
      </w:pPr>
      <w:r>
        <w:rPr>
          <w:rFonts w:hint="eastAsia" w:ascii="宋体" w:hAnsi="宋体"/>
          <w:b/>
          <w:bCs/>
          <w:sz w:val="24"/>
        </w:rPr>
        <w:t>7-5.1法定代表人证明书</w:t>
      </w:r>
    </w:p>
    <w:p>
      <w:pPr>
        <w:spacing w:line="440" w:lineRule="exact"/>
        <w:jc w:val="center"/>
        <w:rPr>
          <w:rFonts w:ascii="宋体" w:hAnsi="宋体"/>
          <w:b/>
          <w:bCs/>
          <w:sz w:val="24"/>
        </w:rPr>
      </w:pPr>
    </w:p>
    <w:p>
      <w:pPr>
        <w:spacing w:line="440" w:lineRule="exact"/>
        <w:rPr>
          <w:rFonts w:ascii="宋体" w:hAnsi="宋体"/>
          <w:u w:val="single"/>
          <w:bdr w:val="single" w:color="auto" w:sz="4" w:space="0"/>
        </w:rPr>
      </w:pPr>
      <w:r>
        <w:rPr>
          <w:rFonts w:hint="eastAsia" w:ascii="宋体" w:hAnsi="宋体"/>
          <w:u w:val="single"/>
        </w:rPr>
        <w:t xml:space="preserve">                </w:t>
      </w:r>
      <w:r>
        <w:rPr>
          <w:rFonts w:hint="eastAsia" w:ascii="宋体" w:hAnsi="宋体"/>
        </w:rPr>
        <w:t>同志，现任我单位</w:t>
      </w:r>
      <w:r>
        <w:rPr>
          <w:rFonts w:ascii="宋体" w:hAnsi="宋体"/>
          <w:u w:val="single"/>
        </w:rPr>
        <w:t xml:space="preserve">           </w:t>
      </w:r>
      <w:r>
        <w:rPr>
          <w:rFonts w:hint="eastAsia" w:ascii="宋体" w:hAnsi="宋体"/>
          <w:u w:val="single"/>
        </w:rPr>
        <w:t xml:space="preserve">        </w:t>
      </w:r>
      <w:r>
        <w:rPr>
          <w:rFonts w:hint="eastAsia" w:ascii="宋体" w:hAnsi="宋体"/>
        </w:rPr>
        <w:t>职务，为法定代表人，特此证明。</w:t>
      </w:r>
    </w:p>
    <w:p>
      <w:pPr>
        <w:spacing w:line="440" w:lineRule="exact"/>
        <w:ind w:left="-359" w:leftChars="-171" w:firstLine="945" w:firstLineChars="450"/>
        <w:jc w:val="right"/>
        <w:rPr>
          <w:rFonts w:hint="eastAsia" w:ascii="宋体" w:hAnsi="宋体"/>
        </w:rPr>
      </w:pPr>
      <w:r>
        <w:rPr>
          <w:rFonts w:hint="eastAsia" w:ascii="宋体" w:hAnsi="宋体"/>
        </w:rPr>
        <w:t>签发日期：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rPr>
        <w:t>单位：</w:t>
      </w:r>
      <w:r>
        <w:rPr>
          <w:rFonts w:ascii="宋体" w:hAnsi="宋体"/>
          <w:b/>
          <w:u w:val="single"/>
        </w:rPr>
        <w:t xml:space="preserve">      </w:t>
      </w:r>
      <w:r>
        <w:rPr>
          <w:rFonts w:hint="eastAsia" w:ascii="宋体" w:hAnsi="宋体"/>
          <w:b/>
          <w:u w:val="single"/>
        </w:rPr>
        <w:t>（盖公章）</w:t>
      </w:r>
    </w:p>
    <w:p>
      <w:pPr>
        <w:spacing w:line="440" w:lineRule="exact"/>
        <w:ind w:left="-359" w:leftChars="-171" w:firstLine="420" w:firstLineChars="200"/>
        <w:rPr>
          <w:rFonts w:hint="eastAsia" w:ascii="宋体" w:hAnsi="宋体"/>
        </w:rPr>
      </w:pPr>
    </w:p>
    <w:p>
      <w:pPr>
        <w:spacing w:line="440" w:lineRule="exact"/>
        <w:ind w:left="-359" w:leftChars="-171" w:firstLine="840" w:firstLineChars="400"/>
      </w:pPr>
      <w:r>
        <w:rPr>
          <w:rFonts w:hint="eastAsia" w:ascii="宋体" w:hAnsi="宋体"/>
        </w:rPr>
        <w:t>说明：</w:t>
      </w:r>
      <w:r>
        <w:t>1</w:t>
      </w:r>
      <w:r>
        <w:rPr>
          <w:rFonts w:hint="eastAsia"/>
        </w:rPr>
        <w:t>、</w:t>
      </w:r>
      <w:r>
        <w:t>法定代表人为企业事业单位、国家机关、社会团体的主要行政负责人。</w:t>
      </w:r>
    </w:p>
    <w:p>
      <w:pPr>
        <w:spacing w:line="440" w:lineRule="exact"/>
        <w:ind w:left="-358" w:leftChars="-171" w:hanging="1"/>
      </w:pPr>
      <w:r>
        <w:t xml:space="preserve">     </w:t>
      </w:r>
      <w:r>
        <w:rPr>
          <w:rFonts w:hint="eastAsia"/>
        </w:rPr>
        <w:t xml:space="preserve">        </w:t>
      </w:r>
      <w:r>
        <w:t xml:space="preserve"> 2</w:t>
      </w:r>
      <w:r>
        <w:rPr>
          <w:rFonts w:hint="eastAsia"/>
        </w:rPr>
        <w:t>、</w:t>
      </w:r>
      <w:r>
        <w:t>内容必须填写真实、清楚，涂改无效，不得转让、买卖。</w:t>
      </w:r>
    </w:p>
    <w:p>
      <w:pPr>
        <w:spacing w:line="440" w:lineRule="exact"/>
        <w:ind w:left="-358" w:leftChars="-171" w:hanging="1"/>
      </w:pPr>
      <w:r>
        <w:t xml:space="preserve">      </w:t>
      </w:r>
      <w:r>
        <w:rPr>
          <w:rFonts w:hint="eastAsia"/>
        </w:rPr>
        <w:t xml:space="preserve">        </w:t>
      </w:r>
      <w:r>
        <w:t>3</w:t>
      </w:r>
      <w:r>
        <w:rPr>
          <w:rFonts w:hint="eastAsia"/>
        </w:rPr>
        <w:t>、</w:t>
      </w:r>
      <w:r>
        <w:t>将此证明书提交对方作为合同附件。</w:t>
      </w:r>
    </w:p>
    <w:p>
      <w:pPr>
        <w:spacing w:line="440" w:lineRule="exact"/>
        <w:rPr>
          <w:rFonts w:hint="eastAsia"/>
        </w:rPr>
      </w:pPr>
    </w:p>
    <w:p>
      <w:pPr>
        <w:spacing w:line="440" w:lineRule="exact"/>
        <w:rPr>
          <w:rFonts w:hint="eastAsia"/>
        </w:rPr>
      </w:pPr>
    </w:p>
    <w:p>
      <w:pPr>
        <w:spacing w:line="440" w:lineRule="exact"/>
        <w:rPr>
          <w:rFonts w:hint="eastAsia"/>
        </w:rPr>
      </w:pPr>
      <w:r>
        <w:rPr>
          <w:rFonts w:hint="eastAsia"/>
        </w:rPr>
        <w:t>附：法定代表人身份证复印件</w:t>
      </w:r>
    </w:p>
    <w:p>
      <w:pPr>
        <w:spacing w:line="440" w:lineRule="exact"/>
        <w:rPr>
          <w:rFonts w:hint="eastAsia"/>
          <w:color w:val="FF0000"/>
        </w:rPr>
      </w:pPr>
      <w:r>
        <w:rPr>
          <w:rFonts w:hint="eastAsia"/>
          <w:color w:val="FF0000"/>
          <w:lang/>
        </w:rPr>
        <mc:AlternateContent>
          <mc:Choice Requires="wpg">
            <w:drawing>
              <wp:anchor distT="0" distB="0" distL="114300" distR="114300" simplePos="0" relativeHeight="251659264" behindDoc="0" locked="0" layoutInCell="0" allowOverlap="1">
                <wp:simplePos x="0" y="0"/>
                <wp:positionH relativeFrom="column">
                  <wp:posOffset>2854325</wp:posOffset>
                </wp:positionH>
                <wp:positionV relativeFrom="paragraph">
                  <wp:posOffset>307975</wp:posOffset>
                </wp:positionV>
                <wp:extent cx="2752090" cy="1497330"/>
                <wp:effectExtent l="0" t="0" r="10160" b="7620"/>
                <wp:wrapNone/>
                <wp:docPr id="24" name="组合 14"/>
                <wp:cNvGraphicFramePr/>
                <a:graphic xmlns:a="http://schemas.openxmlformats.org/drawingml/2006/main">
                  <a:graphicData uri="http://schemas.microsoft.com/office/word/2010/wordprocessingGroup">
                    <wpg:wgp>
                      <wpg:cNvGrpSpPr/>
                      <wpg:grpSpPr>
                        <a:xfrm>
                          <a:off x="0" y="0"/>
                          <a:ext cx="2752090" cy="1497330"/>
                          <a:chOff x="0" y="0"/>
                          <a:chExt cx="4352" cy="2358"/>
                        </a:xfrm>
                      </wpg:grpSpPr>
                      <wpg:grpSp>
                        <wpg:cNvPr id="21" name="组合 15"/>
                        <wpg:cNvGrpSpPr/>
                        <wpg:grpSpPr>
                          <a:xfrm>
                            <a:off x="0" y="0"/>
                            <a:ext cx="4352" cy="2358"/>
                            <a:chOff x="0" y="0"/>
                            <a:chExt cx="4352" cy="2358"/>
                          </a:xfrm>
                        </wpg:grpSpPr>
                        <wps:wsp>
                          <wps:cNvPr id="13" name="任意多边形 16"/>
                          <wps:cNvSpPr/>
                          <wps:spPr>
                            <a:xfrm>
                              <a:off x="0" y="0"/>
                              <a:ext cx="4352" cy="2358"/>
                            </a:xfrm>
                            <a:custGeom>
                              <a:avLst/>
                              <a:gdLst/>
                              <a:ahLst/>
                              <a:cxnLst/>
                              <a:pathLst>
                                <a:path w="4352" h="2358">
                                  <a:moveTo>
                                    <a:pt x="4352" y="2358"/>
                                  </a:moveTo>
                                  <a:lnTo>
                                    <a:pt x="0" y="2358"/>
                                  </a:lnTo>
                                  <a:lnTo>
                                    <a:pt x="0" y="0"/>
                                  </a:lnTo>
                                  <a:lnTo>
                                    <a:pt x="4352" y="0"/>
                                  </a:lnTo>
                                  <a:lnTo>
                                    <a:pt x="4352" y="7"/>
                                  </a:lnTo>
                                  <a:lnTo>
                                    <a:pt x="15" y="7"/>
                                  </a:lnTo>
                                  <a:lnTo>
                                    <a:pt x="7" y="15"/>
                                  </a:lnTo>
                                  <a:lnTo>
                                    <a:pt x="15" y="15"/>
                                  </a:lnTo>
                                  <a:lnTo>
                                    <a:pt x="15" y="2343"/>
                                  </a:lnTo>
                                  <a:lnTo>
                                    <a:pt x="7" y="2343"/>
                                  </a:lnTo>
                                  <a:lnTo>
                                    <a:pt x="15" y="2350"/>
                                  </a:lnTo>
                                  <a:lnTo>
                                    <a:pt x="4352" y="2350"/>
                                  </a:lnTo>
                                  <a:lnTo>
                                    <a:pt x="4352" y="2358"/>
                                  </a:lnTo>
                                  <a:close/>
                                </a:path>
                              </a:pathLst>
                            </a:custGeom>
                            <a:solidFill>
                              <a:srgbClr val="000000">
                                <a:alpha val="100000"/>
                              </a:srgbClr>
                            </a:solidFill>
                            <a:ln>
                              <a:noFill/>
                            </a:ln>
                          </wps:spPr>
                          <wps:bodyPr wrap="square" upright="1"/>
                        </wps:wsp>
                        <wps:wsp>
                          <wps:cNvPr id="14" name="任意多边形 17"/>
                          <wps:cNvSpPr/>
                          <wps:spPr>
                            <a:xfrm>
                              <a:off x="0" y="0"/>
                              <a:ext cx="4352" cy="2358"/>
                            </a:xfrm>
                            <a:custGeom>
                              <a:avLst/>
                              <a:gdLst/>
                              <a:ahLst/>
                              <a:cxnLst/>
                              <a:pathLst>
                                <a:path w="4352" h="2358">
                                  <a:moveTo>
                                    <a:pt x="15" y="15"/>
                                  </a:moveTo>
                                  <a:lnTo>
                                    <a:pt x="7" y="15"/>
                                  </a:lnTo>
                                  <a:lnTo>
                                    <a:pt x="15" y="7"/>
                                  </a:lnTo>
                                  <a:lnTo>
                                    <a:pt x="15" y="15"/>
                                  </a:lnTo>
                                  <a:close/>
                                </a:path>
                              </a:pathLst>
                            </a:custGeom>
                            <a:solidFill>
                              <a:srgbClr val="000000">
                                <a:alpha val="100000"/>
                              </a:srgbClr>
                            </a:solidFill>
                            <a:ln>
                              <a:noFill/>
                            </a:ln>
                          </wps:spPr>
                          <wps:bodyPr wrap="square" upright="1"/>
                        </wps:wsp>
                        <wps:wsp>
                          <wps:cNvPr id="15" name="任意多边形 18"/>
                          <wps:cNvSpPr/>
                          <wps:spPr>
                            <a:xfrm>
                              <a:off x="0" y="0"/>
                              <a:ext cx="4352" cy="2358"/>
                            </a:xfrm>
                            <a:custGeom>
                              <a:avLst/>
                              <a:gdLst/>
                              <a:ahLst/>
                              <a:cxnLst/>
                              <a:pathLst>
                                <a:path w="4352" h="2358">
                                  <a:moveTo>
                                    <a:pt x="4337" y="15"/>
                                  </a:moveTo>
                                  <a:lnTo>
                                    <a:pt x="15" y="15"/>
                                  </a:lnTo>
                                  <a:lnTo>
                                    <a:pt x="15" y="7"/>
                                  </a:lnTo>
                                  <a:lnTo>
                                    <a:pt x="4337" y="7"/>
                                  </a:lnTo>
                                  <a:lnTo>
                                    <a:pt x="4337" y="15"/>
                                  </a:lnTo>
                                  <a:close/>
                                </a:path>
                              </a:pathLst>
                            </a:custGeom>
                            <a:solidFill>
                              <a:srgbClr val="000000">
                                <a:alpha val="100000"/>
                              </a:srgbClr>
                            </a:solidFill>
                            <a:ln>
                              <a:noFill/>
                            </a:ln>
                          </wps:spPr>
                          <wps:bodyPr wrap="square" upright="1"/>
                        </wps:wsp>
                        <wps:wsp>
                          <wps:cNvPr id="16" name="任意多边形 19"/>
                          <wps:cNvSpPr/>
                          <wps:spPr>
                            <a:xfrm>
                              <a:off x="0" y="0"/>
                              <a:ext cx="4352" cy="2358"/>
                            </a:xfrm>
                            <a:custGeom>
                              <a:avLst/>
                              <a:gdLst/>
                              <a:ahLst/>
                              <a:cxnLst/>
                              <a:pathLst>
                                <a:path w="4352" h="2358">
                                  <a:moveTo>
                                    <a:pt x="4337" y="2350"/>
                                  </a:moveTo>
                                  <a:lnTo>
                                    <a:pt x="4337" y="7"/>
                                  </a:lnTo>
                                  <a:lnTo>
                                    <a:pt x="4344" y="15"/>
                                  </a:lnTo>
                                  <a:lnTo>
                                    <a:pt x="4352" y="15"/>
                                  </a:lnTo>
                                  <a:lnTo>
                                    <a:pt x="4352" y="2343"/>
                                  </a:lnTo>
                                  <a:lnTo>
                                    <a:pt x="4344" y="2343"/>
                                  </a:lnTo>
                                  <a:lnTo>
                                    <a:pt x="4337" y="2350"/>
                                  </a:lnTo>
                                  <a:close/>
                                </a:path>
                              </a:pathLst>
                            </a:custGeom>
                            <a:solidFill>
                              <a:srgbClr val="000000">
                                <a:alpha val="100000"/>
                              </a:srgbClr>
                            </a:solidFill>
                            <a:ln>
                              <a:noFill/>
                            </a:ln>
                          </wps:spPr>
                          <wps:bodyPr wrap="square" upright="1"/>
                        </wps:wsp>
                        <wps:wsp>
                          <wps:cNvPr id="17" name="任意多边形 20"/>
                          <wps:cNvSpPr/>
                          <wps:spPr>
                            <a:xfrm>
                              <a:off x="0" y="0"/>
                              <a:ext cx="4352" cy="2358"/>
                            </a:xfrm>
                            <a:custGeom>
                              <a:avLst/>
                              <a:gdLst/>
                              <a:ahLst/>
                              <a:cxnLst/>
                              <a:pathLst>
                                <a:path w="4352" h="2358">
                                  <a:moveTo>
                                    <a:pt x="4352" y="15"/>
                                  </a:moveTo>
                                  <a:lnTo>
                                    <a:pt x="4344" y="15"/>
                                  </a:lnTo>
                                  <a:lnTo>
                                    <a:pt x="4337" y="7"/>
                                  </a:lnTo>
                                  <a:lnTo>
                                    <a:pt x="4352" y="7"/>
                                  </a:lnTo>
                                  <a:lnTo>
                                    <a:pt x="4352" y="15"/>
                                  </a:lnTo>
                                  <a:close/>
                                </a:path>
                              </a:pathLst>
                            </a:custGeom>
                            <a:solidFill>
                              <a:srgbClr val="000000">
                                <a:alpha val="100000"/>
                              </a:srgbClr>
                            </a:solidFill>
                            <a:ln>
                              <a:noFill/>
                            </a:ln>
                          </wps:spPr>
                          <wps:bodyPr wrap="square" upright="1"/>
                        </wps:wsp>
                        <wps:wsp>
                          <wps:cNvPr id="18" name="任意多边形 21"/>
                          <wps:cNvSpPr/>
                          <wps:spPr>
                            <a:xfrm>
                              <a:off x="0" y="0"/>
                              <a:ext cx="4352" cy="2358"/>
                            </a:xfrm>
                            <a:custGeom>
                              <a:avLst/>
                              <a:gdLst/>
                              <a:ahLst/>
                              <a:cxnLst/>
                              <a:pathLst>
                                <a:path w="4352" h="2358">
                                  <a:moveTo>
                                    <a:pt x="15" y="2350"/>
                                  </a:moveTo>
                                  <a:lnTo>
                                    <a:pt x="7" y="2343"/>
                                  </a:lnTo>
                                  <a:lnTo>
                                    <a:pt x="15" y="2343"/>
                                  </a:lnTo>
                                  <a:lnTo>
                                    <a:pt x="15" y="2350"/>
                                  </a:lnTo>
                                  <a:close/>
                                </a:path>
                              </a:pathLst>
                            </a:custGeom>
                            <a:solidFill>
                              <a:srgbClr val="000000">
                                <a:alpha val="100000"/>
                              </a:srgbClr>
                            </a:solidFill>
                            <a:ln>
                              <a:noFill/>
                            </a:ln>
                          </wps:spPr>
                          <wps:bodyPr wrap="square" upright="1"/>
                        </wps:wsp>
                        <wps:wsp>
                          <wps:cNvPr id="19" name="任意多边形 22"/>
                          <wps:cNvSpPr/>
                          <wps:spPr>
                            <a:xfrm>
                              <a:off x="0" y="0"/>
                              <a:ext cx="4352" cy="2358"/>
                            </a:xfrm>
                            <a:custGeom>
                              <a:avLst/>
                              <a:gdLst/>
                              <a:ahLst/>
                              <a:cxnLst/>
                              <a:pathLst>
                                <a:path w="4352" h="2358">
                                  <a:moveTo>
                                    <a:pt x="4337" y="2350"/>
                                  </a:moveTo>
                                  <a:lnTo>
                                    <a:pt x="15" y="2350"/>
                                  </a:lnTo>
                                  <a:lnTo>
                                    <a:pt x="15" y="2343"/>
                                  </a:lnTo>
                                  <a:lnTo>
                                    <a:pt x="4337" y="2343"/>
                                  </a:lnTo>
                                  <a:lnTo>
                                    <a:pt x="4337" y="2350"/>
                                  </a:lnTo>
                                  <a:close/>
                                </a:path>
                              </a:pathLst>
                            </a:custGeom>
                            <a:solidFill>
                              <a:srgbClr val="000000">
                                <a:alpha val="100000"/>
                              </a:srgbClr>
                            </a:solidFill>
                            <a:ln>
                              <a:noFill/>
                            </a:ln>
                          </wps:spPr>
                          <wps:bodyPr wrap="square" upright="1"/>
                        </wps:wsp>
                        <wps:wsp>
                          <wps:cNvPr id="20" name="任意多边形 23"/>
                          <wps:cNvSpPr/>
                          <wps:spPr>
                            <a:xfrm>
                              <a:off x="0" y="0"/>
                              <a:ext cx="4352" cy="2358"/>
                            </a:xfrm>
                            <a:custGeom>
                              <a:avLst/>
                              <a:gdLst/>
                              <a:ahLst/>
                              <a:cxnLst/>
                              <a:pathLst>
                                <a:path w="4352" h="2358">
                                  <a:moveTo>
                                    <a:pt x="4352" y="2350"/>
                                  </a:moveTo>
                                  <a:lnTo>
                                    <a:pt x="4337" y="2350"/>
                                  </a:lnTo>
                                  <a:lnTo>
                                    <a:pt x="4344" y="2343"/>
                                  </a:lnTo>
                                  <a:lnTo>
                                    <a:pt x="4352" y="2343"/>
                                  </a:lnTo>
                                  <a:lnTo>
                                    <a:pt x="4352" y="2350"/>
                                  </a:lnTo>
                                  <a:close/>
                                </a:path>
                              </a:pathLst>
                            </a:custGeom>
                            <a:solidFill>
                              <a:srgbClr val="000000">
                                <a:alpha val="100000"/>
                              </a:srgbClr>
                            </a:solidFill>
                            <a:ln>
                              <a:noFill/>
                            </a:ln>
                          </wps:spPr>
                          <wps:bodyPr wrap="square" upright="1"/>
                        </wps:wsp>
                      </wpg:grpSp>
                      <wps:wsp>
                        <wps:cNvPr id="22" name="文本框 24"/>
                        <wps:cNvSpPr txBox="1"/>
                        <wps:spPr>
                          <a:xfrm>
                            <a:off x="1022" y="139"/>
                            <a:ext cx="2309" cy="521"/>
                          </a:xfrm>
                          <a:prstGeom prst="rect">
                            <a:avLst/>
                          </a:prstGeom>
                          <a:noFill/>
                          <a:ln>
                            <a:noFill/>
                          </a:ln>
                        </wps:spPr>
                        <wps:txbx>
                          <w:txbxContent>
                            <w:p>
                              <w:pPr>
                                <w:pStyle w:val="11"/>
                                <w:kinsoku w:val="0"/>
                                <w:overflowPunct w:val="0"/>
                                <w:spacing w:after="93" w:line="209" w:lineRule="exact"/>
                                <w:ind w:firstLine="198" w:firstLineChars="97"/>
                                <w:jc w:val="center"/>
                                <w:rPr>
                                  <w:rFonts w:hint="eastAsia"/>
                                  <w:spacing w:val="2"/>
                                  <w:w w:val="99"/>
                                  <w:sz w:val="21"/>
                                  <w:szCs w:val="21"/>
                                </w:rPr>
                              </w:pPr>
                              <w:r>
                                <w:rPr>
                                  <w:spacing w:val="-1"/>
                                  <w:w w:val="99"/>
                                  <w:sz w:val="21"/>
                                  <w:szCs w:val="21"/>
                                </w:rPr>
                                <w:t>法</w:t>
                              </w:r>
                              <w:r>
                                <w:rPr>
                                  <w:spacing w:val="2"/>
                                  <w:w w:val="99"/>
                                  <w:sz w:val="21"/>
                                  <w:szCs w:val="21"/>
                                </w:rPr>
                                <w:t>定</w:t>
                              </w:r>
                              <w:r>
                                <w:rPr>
                                  <w:spacing w:val="-1"/>
                                  <w:w w:val="99"/>
                                  <w:sz w:val="21"/>
                                  <w:szCs w:val="21"/>
                                </w:rPr>
                                <w:t>代</w:t>
                              </w:r>
                              <w:r>
                                <w:rPr>
                                  <w:spacing w:val="2"/>
                                  <w:w w:val="99"/>
                                  <w:sz w:val="21"/>
                                  <w:szCs w:val="21"/>
                                </w:rPr>
                                <w:t>表</w:t>
                              </w:r>
                              <w:r>
                                <w:rPr>
                                  <w:w w:val="99"/>
                                  <w:sz w:val="21"/>
                                  <w:szCs w:val="21"/>
                                </w:rPr>
                                <w:t>人</w:t>
                              </w:r>
                              <w:r>
                                <w:rPr>
                                  <w:spacing w:val="-1"/>
                                  <w:w w:val="99"/>
                                  <w:sz w:val="21"/>
                                  <w:szCs w:val="21"/>
                                </w:rPr>
                                <w:t>居</w:t>
                              </w:r>
                              <w:r>
                                <w:rPr>
                                  <w:spacing w:val="2"/>
                                  <w:w w:val="99"/>
                                  <w:sz w:val="21"/>
                                  <w:szCs w:val="21"/>
                                </w:rPr>
                                <w:t>民</w:t>
                              </w:r>
                            </w:p>
                            <w:p>
                              <w:pPr>
                                <w:pStyle w:val="11"/>
                                <w:kinsoku w:val="0"/>
                                <w:overflowPunct w:val="0"/>
                                <w:spacing w:after="93" w:line="209" w:lineRule="exact"/>
                                <w:ind w:firstLine="198" w:firstLineChars="97"/>
                                <w:jc w:val="center"/>
                              </w:pPr>
                              <w:r>
                                <w:rPr>
                                  <w:spacing w:val="-1"/>
                                  <w:w w:val="99"/>
                                  <w:sz w:val="21"/>
                                  <w:szCs w:val="21"/>
                                </w:rPr>
                                <w:t>身</w:t>
                              </w:r>
                              <w:r>
                                <w:rPr>
                                  <w:spacing w:val="2"/>
                                  <w:w w:val="99"/>
                                  <w:sz w:val="21"/>
                                  <w:szCs w:val="21"/>
                                </w:rPr>
                                <w:t>份</w:t>
                              </w:r>
                              <w:r>
                                <w:rPr>
                                  <w:spacing w:val="-1"/>
                                  <w:w w:val="99"/>
                                  <w:sz w:val="21"/>
                                  <w:szCs w:val="21"/>
                                </w:rPr>
                                <w:t>证</w:t>
                              </w:r>
                              <w:r>
                                <w:rPr>
                                  <w:spacing w:val="2"/>
                                  <w:w w:val="99"/>
                                  <w:sz w:val="21"/>
                                  <w:szCs w:val="21"/>
                                </w:rPr>
                                <w:t>复</w:t>
                              </w:r>
                              <w:r>
                                <w:rPr>
                                  <w:spacing w:val="-1"/>
                                  <w:w w:val="99"/>
                                  <w:sz w:val="21"/>
                                  <w:szCs w:val="21"/>
                                </w:rPr>
                                <w:t>印</w:t>
                              </w:r>
                              <w:r>
                                <w:rPr>
                                  <w:spacing w:val="2"/>
                                  <w:w w:val="99"/>
                                  <w:sz w:val="21"/>
                                  <w:szCs w:val="21"/>
                                </w:rPr>
                                <w:t>件</w:t>
                              </w:r>
                              <w:r>
                                <w:rPr>
                                  <w:spacing w:val="-1"/>
                                  <w:w w:val="99"/>
                                  <w:sz w:val="21"/>
                                  <w:szCs w:val="21"/>
                                </w:rPr>
                                <w:t>粘</w:t>
                              </w:r>
                              <w:r>
                                <w:rPr>
                                  <w:spacing w:val="2"/>
                                  <w:w w:val="99"/>
                                  <w:sz w:val="21"/>
                                  <w:szCs w:val="21"/>
                                </w:rPr>
                                <w:t>贴处</w:t>
                              </w:r>
                            </w:p>
                          </w:txbxContent>
                        </wps:txbx>
                        <wps:bodyPr wrap="square" lIns="0" tIns="0" rIns="0" bIns="0" upright="1"/>
                      </wps:wsp>
                      <wps:wsp>
                        <wps:cNvPr id="23" name="文本框 25"/>
                        <wps:cNvSpPr txBox="1"/>
                        <wps:spPr>
                          <a:xfrm>
                            <a:off x="1756" y="1075"/>
                            <a:ext cx="838" cy="209"/>
                          </a:xfrm>
                          <a:prstGeom prst="rect">
                            <a:avLst/>
                          </a:prstGeom>
                          <a:noFill/>
                          <a:ln>
                            <a:noFill/>
                          </a:ln>
                        </wps:spPr>
                        <wps:txbx>
                          <w:txbxContent>
                            <w:p>
                              <w:pPr>
                                <w:pStyle w:val="11"/>
                                <w:kinsoku w:val="0"/>
                                <w:overflowPunct w:val="0"/>
                                <w:spacing w:after="93" w:line="209" w:lineRule="exact"/>
                                <w:ind w:firstLine="0" w:firstLineChars="0"/>
                                <w:rPr>
                                  <w:szCs w:val="24"/>
                                </w:rPr>
                              </w:pPr>
                              <w:r>
                                <w:rPr>
                                  <w:spacing w:val="-1"/>
                                  <w:w w:val="99"/>
                                  <w:szCs w:val="24"/>
                                </w:rPr>
                                <w:t>（</w:t>
                              </w:r>
                              <w:r>
                                <w:rPr>
                                  <w:spacing w:val="2"/>
                                  <w:w w:val="99"/>
                                  <w:szCs w:val="24"/>
                                </w:rPr>
                                <w:t>反</w:t>
                              </w:r>
                              <w:r>
                                <w:rPr>
                                  <w:spacing w:val="-1"/>
                                  <w:w w:val="99"/>
                                  <w:szCs w:val="24"/>
                                </w:rPr>
                                <w:t>面</w:t>
                              </w:r>
                              <w:r>
                                <w:rPr>
                                  <w:w w:val="99"/>
                                  <w:szCs w:val="24"/>
                                </w:rPr>
                                <w:t>）</w:t>
                              </w:r>
                            </w:p>
                          </w:txbxContent>
                        </wps:txbx>
                        <wps:bodyPr wrap="square" lIns="0" tIns="0" rIns="0" bIns="0" upright="1"/>
                      </wps:wsp>
                    </wpg:wgp>
                  </a:graphicData>
                </a:graphic>
              </wp:anchor>
            </w:drawing>
          </mc:Choice>
          <mc:Fallback>
            <w:pict>
              <v:group id="组合 14" o:spid="_x0000_s1026" o:spt="203" style="position:absolute;left:0pt;margin-left:224.75pt;margin-top:24.25pt;height:117.9pt;width:216.7pt;z-index:251659264;mso-width-relative:page;mso-height-relative:page;" coordsize="4352,2358" o:allowincell="f" o:gfxdata="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DWMyQraAAAACgEA&#10;AA8AAAAAAAAAAQAgAAAAIgAAAGRycy9kb3ducmV2LnhtbFBLAQIUABQAAAAIAIdO4kBCw9twiwQA&#10;ADgfAAAOAAAAAAAAAAEAIAAAACkBAABkcnMvZTJvRG9jLnhtbFBLBQYAAAAABgAGAFkBAAAmCAAA&#10;AAA=&#10;">
                <o:lock v:ext="edit" rotation="f" aspectratio="f"/>
                <v:group id="组合 15" o:spid="_x0000_s1026" o:spt="203" style="position:absolute;left:0;top:0;height:2358;width:4352;" coordsize="4352,2358"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16" o:spid="_x0000_s1026" o:spt="100" style="position:absolute;left:0;top:0;height:2358;width:4352;" fillcolor="#000000" filled="t" stroked="f" coordsize="4352,2358" o:gfxdata="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mbCqvQAA&#10;ANsAAAAPAAAAAAAAAAEAIAAAACIAAABkcnMvZG93bnJldi54bWxQSwECFAAUAAAACACHTuJAMy8F&#10;njsAAAA5AAAAEAAAAAAAAAABACAAAAAMAQAAZHJzL3NoYXBleG1sLnhtbFBLBQYAAAAABgAGAFsB&#10;AAC2AwAAAAA=&#10;" path="m4352,2358l0,2358,0,0,4352,0,4352,7,15,7,7,15,15,15,15,2343,7,2343,15,2350,4352,2350,4352,2358xe">
                    <v:fill on="t" focussize="0,0"/>
                    <v:stroke on="f"/>
                    <v:imagedata o:title=""/>
                    <o:lock v:ext="edit" aspectratio="f"/>
                  </v:shape>
                  <v:shape id="任意多边形 17" o:spid="_x0000_s1026" o:spt="100" style="position:absolute;left:0;top:0;height:2358;width:4352;" fillcolor="#000000" filled="t" stroked="f" coordsize="4352,2358" o:gfxdata="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cCjevQAA&#10;ANsAAAAPAAAAAAAAAAEAIAAAACIAAABkcnMvZG93bnJldi54bWxQSwECFAAUAAAACACHTuJAMy8F&#10;njsAAAA5AAAAEAAAAAAAAAABACAAAAAMAQAAZHJzL3NoYXBleG1sLnhtbFBLBQYAAAAABgAGAFsB&#10;AAC2AwAAAAA=&#10;" path="m15,15l7,15,15,7,15,15xe">
                    <v:fill on="t" focussize="0,0"/>
                    <v:stroke on="f"/>
                    <v:imagedata o:title=""/>
                    <o:lock v:ext="edit" aspectratio="f"/>
                  </v:shape>
                  <v:shape id="任意多边形 18" o:spid="_x0000_s1026" o:spt="100" style="position:absolute;left:0;top:0;height:2358;width:4352;" fillcolor="#000000" filled="t" stroked="f" coordsize="4352,2358" o:gfxdata="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I1FvQAA&#10;ANsAAAAPAAAAAAAAAAEAIAAAACIAAABkcnMvZG93bnJldi54bWxQSwECFAAUAAAACACHTuJAMy8F&#10;njsAAAA5AAAAEAAAAAAAAAABACAAAAAMAQAAZHJzL3NoYXBleG1sLnhtbFBLBQYAAAAABgAGAFsB&#10;AAC2AwAAAAA=&#10;" path="m4337,15l15,15,15,7,4337,7,4337,15xe">
                    <v:fill on="t" focussize="0,0"/>
                    <v:stroke on="f"/>
                    <v:imagedata o:title=""/>
                    <o:lock v:ext="edit" aspectratio="f"/>
                  </v:shape>
                  <v:shape id="任意多边形 19" o:spid="_x0000_s1026" o:spt="100" style="position:absolute;left:0;top:0;height:2358;width:4352;" fillcolor="#000000" filled="t" stroked="f" coordsize="4352,2358" o:gfxdata="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7hMyvQAA&#10;ANsAAAAPAAAAAAAAAAEAIAAAACIAAABkcnMvZG93bnJldi54bWxQSwECFAAUAAAACACHTuJAMy8F&#10;njsAAAA5AAAAEAAAAAAAAAABACAAAAAMAQAAZHJzL3NoYXBleG1sLnhtbFBLBQYAAAAABgAGAFsB&#10;AAC2AwAAAAA=&#10;" path="m4337,2350l4337,7,4344,15,4352,15,4352,2343,4344,2343,4337,2350xe">
                    <v:fill on="t" focussize="0,0"/>
                    <v:stroke on="f"/>
                    <v:imagedata o:title=""/>
                    <o:lock v:ext="edit" aspectratio="f"/>
                  </v:shape>
                  <v:shape id="任意多边形 20" o:spid="_x0000_s1026" o:spt="100" style="position:absolute;left:0;top:0;height:2358;width:4352;" fillcolor="#000000" filled="t" stroked="f" coordsize="4352,2358" o:gfxdata="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orapvQAA&#10;ANsAAAAPAAAAAAAAAAEAIAAAACIAAABkcnMvZG93bnJldi54bWxQSwECFAAUAAAACACHTuJAMy8F&#10;njsAAAA5AAAAEAAAAAAAAAABACAAAAAMAQAAZHJzL3NoYXBleG1sLnhtbFBLBQYAAAAABgAGAFsB&#10;AAC2AwAAAAA=&#10;" path="m4352,15l4344,15,4337,7,4352,7,4352,15xe">
                    <v:fill on="t" focussize="0,0"/>
                    <v:stroke on="f"/>
                    <v:imagedata o:title=""/>
                    <o:lock v:ext="edit" aspectratio="f"/>
                  </v:shape>
                  <v:shape id="任意多边形 21" o:spid="_x0000_s1026" o:spt="100" style="position:absolute;left:0;top:0;height:2358;width:4352;" fillcolor="#000000" filled="t" stroked="f" coordsize="4352,2358" o:gfxdata="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9Itu/&#10;AAAA2wAAAA8AAAAAAAAAAQAgAAAAIgAAAGRycy9kb3ducmV2LnhtbFBLAQIUABQAAAAIAIdO4kAz&#10;LwWeOwAAADkAAAAQAAAAAAAAAAEAIAAAAA4BAABkcnMvc2hhcGV4bWwueG1sUEsFBgAAAAAGAAYA&#10;WwEAALgDAAAAAA==&#10;" path="m15,2350l7,2343,15,2343,15,2350xe">
                    <v:fill on="t" focussize="0,0"/>
                    <v:stroke on="f"/>
                    <v:imagedata o:title=""/>
                    <o:lock v:ext="edit" aspectratio="f"/>
                  </v:shape>
                  <v:shape id="任意多边形 22" o:spid="_x0000_s1026" o:spt="100" style="position:absolute;left:0;top:0;height:2358;width:4352;" fillcolor="#000000" filled="t" stroked="f" coordsize="4352,2358" o:gfxdata="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cYdAvQAA&#10;ANsAAAAPAAAAAAAAAAEAIAAAACIAAABkcnMvZG93bnJldi54bWxQSwECFAAUAAAACACHTuJAMy8F&#10;njsAAAA5AAAAEAAAAAAAAAABACAAAAAMAQAAZHJzL3NoYXBleG1sLnhtbFBLBQYAAAAABgAGAFsB&#10;AAC2AwAAAAA=&#10;" path="m4337,2350l15,2350,15,2343,4337,2343,4337,2350xe">
                    <v:fill on="t" focussize="0,0"/>
                    <v:stroke on="f"/>
                    <v:imagedata o:title=""/>
                    <o:lock v:ext="edit" aspectratio="f"/>
                  </v:shape>
                  <v:shape id="任意多边形 23" o:spid="_x0000_s1026" o:spt="100" style="position:absolute;left:0;top:0;height:2358;width:4352;" fillcolor="#000000" filled="t" stroked="f" coordsize="4352,2358" o:gfxdata="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n5GC8AAAA&#10;2wAAAA8AAAAAAAAAAQAgAAAAIgAAAGRycy9kb3ducmV2LnhtbFBLAQIUABQAAAAIAIdO4kAzLwWe&#10;OwAAADkAAAAQAAAAAAAAAAEAIAAAAAsBAABkcnMvc2hhcGV4bWwueG1sUEsFBgAAAAAGAAYAWwEA&#10;ALUDAAAAAA==&#10;" path="m4352,2350l4337,2350,4344,2343,4352,2343,4352,2350xe">
                    <v:fill on="t" focussize="0,0"/>
                    <v:stroke on="f"/>
                    <v:imagedata o:title=""/>
                    <o:lock v:ext="edit" aspectratio="f"/>
                  </v:shape>
                </v:group>
                <v:shape id="文本框 24" o:spid="_x0000_s1026" o:spt="202" type="#_x0000_t202" style="position:absolute;left:1022;top:139;height:521;width:2309;"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11"/>
                          <w:kinsoku w:val="0"/>
                          <w:overflowPunct w:val="0"/>
                          <w:spacing w:after="93" w:line="209" w:lineRule="exact"/>
                          <w:ind w:firstLine="198" w:firstLineChars="97"/>
                          <w:jc w:val="center"/>
                          <w:rPr>
                            <w:rFonts w:hint="eastAsia"/>
                            <w:spacing w:val="2"/>
                            <w:w w:val="99"/>
                            <w:sz w:val="21"/>
                            <w:szCs w:val="21"/>
                          </w:rPr>
                        </w:pPr>
                        <w:r>
                          <w:rPr>
                            <w:spacing w:val="-1"/>
                            <w:w w:val="99"/>
                            <w:sz w:val="21"/>
                            <w:szCs w:val="21"/>
                          </w:rPr>
                          <w:t>法</w:t>
                        </w:r>
                        <w:r>
                          <w:rPr>
                            <w:spacing w:val="2"/>
                            <w:w w:val="99"/>
                            <w:sz w:val="21"/>
                            <w:szCs w:val="21"/>
                          </w:rPr>
                          <w:t>定</w:t>
                        </w:r>
                        <w:r>
                          <w:rPr>
                            <w:spacing w:val="-1"/>
                            <w:w w:val="99"/>
                            <w:sz w:val="21"/>
                            <w:szCs w:val="21"/>
                          </w:rPr>
                          <w:t>代</w:t>
                        </w:r>
                        <w:r>
                          <w:rPr>
                            <w:spacing w:val="2"/>
                            <w:w w:val="99"/>
                            <w:sz w:val="21"/>
                            <w:szCs w:val="21"/>
                          </w:rPr>
                          <w:t>表</w:t>
                        </w:r>
                        <w:r>
                          <w:rPr>
                            <w:w w:val="99"/>
                            <w:sz w:val="21"/>
                            <w:szCs w:val="21"/>
                          </w:rPr>
                          <w:t>人</w:t>
                        </w:r>
                        <w:r>
                          <w:rPr>
                            <w:spacing w:val="-1"/>
                            <w:w w:val="99"/>
                            <w:sz w:val="21"/>
                            <w:szCs w:val="21"/>
                          </w:rPr>
                          <w:t>居</w:t>
                        </w:r>
                        <w:r>
                          <w:rPr>
                            <w:spacing w:val="2"/>
                            <w:w w:val="99"/>
                            <w:sz w:val="21"/>
                            <w:szCs w:val="21"/>
                          </w:rPr>
                          <w:t>民</w:t>
                        </w:r>
                      </w:p>
                      <w:p>
                        <w:pPr>
                          <w:pStyle w:val="11"/>
                          <w:kinsoku w:val="0"/>
                          <w:overflowPunct w:val="0"/>
                          <w:spacing w:after="93" w:line="209" w:lineRule="exact"/>
                          <w:ind w:firstLine="198" w:firstLineChars="97"/>
                          <w:jc w:val="center"/>
                        </w:pPr>
                        <w:r>
                          <w:rPr>
                            <w:spacing w:val="-1"/>
                            <w:w w:val="99"/>
                            <w:sz w:val="21"/>
                            <w:szCs w:val="21"/>
                          </w:rPr>
                          <w:t>身</w:t>
                        </w:r>
                        <w:r>
                          <w:rPr>
                            <w:spacing w:val="2"/>
                            <w:w w:val="99"/>
                            <w:sz w:val="21"/>
                            <w:szCs w:val="21"/>
                          </w:rPr>
                          <w:t>份</w:t>
                        </w:r>
                        <w:r>
                          <w:rPr>
                            <w:spacing w:val="-1"/>
                            <w:w w:val="99"/>
                            <w:sz w:val="21"/>
                            <w:szCs w:val="21"/>
                          </w:rPr>
                          <w:t>证</w:t>
                        </w:r>
                        <w:r>
                          <w:rPr>
                            <w:spacing w:val="2"/>
                            <w:w w:val="99"/>
                            <w:sz w:val="21"/>
                            <w:szCs w:val="21"/>
                          </w:rPr>
                          <w:t>复</w:t>
                        </w:r>
                        <w:r>
                          <w:rPr>
                            <w:spacing w:val="-1"/>
                            <w:w w:val="99"/>
                            <w:sz w:val="21"/>
                            <w:szCs w:val="21"/>
                          </w:rPr>
                          <w:t>印</w:t>
                        </w:r>
                        <w:r>
                          <w:rPr>
                            <w:spacing w:val="2"/>
                            <w:w w:val="99"/>
                            <w:sz w:val="21"/>
                            <w:szCs w:val="21"/>
                          </w:rPr>
                          <w:t>件</w:t>
                        </w:r>
                        <w:r>
                          <w:rPr>
                            <w:spacing w:val="-1"/>
                            <w:w w:val="99"/>
                            <w:sz w:val="21"/>
                            <w:szCs w:val="21"/>
                          </w:rPr>
                          <w:t>粘</w:t>
                        </w:r>
                        <w:r>
                          <w:rPr>
                            <w:spacing w:val="2"/>
                            <w:w w:val="99"/>
                            <w:sz w:val="21"/>
                            <w:szCs w:val="21"/>
                          </w:rPr>
                          <w:t>贴处</w:t>
                        </w:r>
                      </w:p>
                    </w:txbxContent>
                  </v:textbox>
                </v:shape>
                <v:shape id="文本框 25" o:spid="_x0000_s1026" o:spt="202" type="#_x0000_t202" style="position:absolute;left:1756;top:1075;height:209;width:838;"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kinsoku w:val="0"/>
                          <w:overflowPunct w:val="0"/>
                          <w:spacing w:after="93" w:line="209" w:lineRule="exact"/>
                          <w:ind w:firstLine="0" w:firstLineChars="0"/>
                          <w:rPr>
                            <w:szCs w:val="24"/>
                          </w:rPr>
                        </w:pPr>
                        <w:r>
                          <w:rPr>
                            <w:spacing w:val="-1"/>
                            <w:w w:val="99"/>
                            <w:szCs w:val="24"/>
                          </w:rPr>
                          <w:t>（</w:t>
                        </w:r>
                        <w:r>
                          <w:rPr>
                            <w:spacing w:val="2"/>
                            <w:w w:val="99"/>
                            <w:szCs w:val="24"/>
                          </w:rPr>
                          <w:t>反</w:t>
                        </w:r>
                        <w:r>
                          <w:rPr>
                            <w:spacing w:val="-1"/>
                            <w:w w:val="99"/>
                            <w:szCs w:val="24"/>
                          </w:rPr>
                          <w:t>面</w:t>
                        </w:r>
                        <w:r>
                          <w:rPr>
                            <w:w w:val="99"/>
                            <w:szCs w:val="24"/>
                          </w:rPr>
                          <w:t>）</w:t>
                        </w:r>
                      </w:p>
                    </w:txbxContent>
                  </v:textbox>
                </v:shape>
              </v:group>
            </w:pict>
          </mc:Fallback>
        </mc:AlternateContent>
      </w:r>
    </w:p>
    <w:p>
      <w:pPr>
        <w:spacing w:line="440" w:lineRule="exact"/>
        <w:rPr>
          <w:rFonts w:hint="eastAsia"/>
          <w:color w:val="FF0000"/>
        </w:rPr>
      </w:pPr>
      <w:r>
        <w:rPr>
          <w:rFonts w:hint="eastAsia"/>
          <w:color w:val="FF0000"/>
          <w:lang/>
        </w:rPr>
        <mc:AlternateContent>
          <mc:Choice Requires="wpg">
            <w:drawing>
              <wp:anchor distT="0" distB="0" distL="114300" distR="114300" simplePos="0" relativeHeight="251658240" behindDoc="0" locked="0" layoutInCell="0" allowOverlap="1">
                <wp:simplePos x="0" y="0"/>
                <wp:positionH relativeFrom="column">
                  <wp:posOffset>-31750</wp:posOffset>
                </wp:positionH>
                <wp:positionV relativeFrom="paragraph">
                  <wp:posOffset>28575</wp:posOffset>
                </wp:positionV>
                <wp:extent cx="2763520" cy="1497330"/>
                <wp:effectExtent l="0" t="0" r="17780" b="7620"/>
                <wp:wrapTopAndBottom/>
                <wp:docPr id="12" name="组合 2"/>
                <wp:cNvGraphicFramePr/>
                <a:graphic xmlns:a="http://schemas.openxmlformats.org/drawingml/2006/main">
                  <a:graphicData uri="http://schemas.microsoft.com/office/word/2010/wordprocessingGroup">
                    <wpg:wgp>
                      <wpg:cNvGrpSpPr/>
                      <wpg:grpSpPr>
                        <a:xfrm>
                          <a:off x="0" y="0"/>
                          <a:ext cx="2763520" cy="1497330"/>
                          <a:chOff x="0" y="0"/>
                          <a:chExt cx="4352" cy="2358"/>
                        </a:xfrm>
                      </wpg:grpSpPr>
                      <wpg:grpSp>
                        <wpg:cNvPr id="9" name="组合 3"/>
                        <wpg:cNvGrpSpPr/>
                        <wpg:grpSpPr>
                          <a:xfrm>
                            <a:off x="0" y="0"/>
                            <a:ext cx="4352" cy="2358"/>
                            <a:chOff x="0" y="0"/>
                            <a:chExt cx="4352" cy="2358"/>
                          </a:xfrm>
                        </wpg:grpSpPr>
                        <wps:wsp>
                          <wps:cNvPr id="1" name="任意多边形 4"/>
                          <wps:cNvSpPr/>
                          <wps:spPr>
                            <a:xfrm>
                              <a:off x="0" y="0"/>
                              <a:ext cx="4352" cy="2358"/>
                            </a:xfrm>
                            <a:custGeom>
                              <a:avLst/>
                              <a:gdLst/>
                              <a:ahLst/>
                              <a:cxnLst/>
                              <a:pathLst>
                                <a:path w="4352" h="2358">
                                  <a:moveTo>
                                    <a:pt x="4352" y="2358"/>
                                  </a:moveTo>
                                  <a:lnTo>
                                    <a:pt x="0" y="2358"/>
                                  </a:lnTo>
                                  <a:lnTo>
                                    <a:pt x="0" y="0"/>
                                  </a:lnTo>
                                  <a:lnTo>
                                    <a:pt x="4352" y="0"/>
                                  </a:lnTo>
                                  <a:lnTo>
                                    <a:pt x="4352" y="7"/>
                                  </a:lnTo>
                                  <a:lnTo>
                                    <a:pt x="15" y="7"/>
                                  </a:lnTo>
                                  <a:lnTo>
                                    <a:pt x="7" y="15"/>
                                  </a:lnTo>
                                  <a:lnTo>
                                    <a:pt x="15" y="15"/>
                                  </a:lnTo>
                                  <a:lnTo>
                                    <a:pt x="15" y="2343"/>
                                  </a:lnTo>
                                  <a:lnTo>
                                    <a:pt x="7" y="2343"/>
                                  </a:lnTo>
                                  <a:lnTo>
                                    <a:pt x="15" y="2350"/>
                                  </a:lnTo>
                                  <a:lnTo>
                                    <a:pt x="4352" y="2350"/>
                                  </a:lnTo>
                                  <a:lnTo>
                                    <a:pt x="4352" y="2358"/>
                                  </a:lnTo>
                                  <a:close/>
                                </a:path>
                              </a:pathLst>
                            </a:custGeom>
                            <a:solidFill>
                              <a:srgbClr val="000000">
                                <a:alpha val="100000"/>
                              </a:srgbClr>
                            </a:solidFill>
                            <a:ln>
                              <a:noFill/>
                            </a:ln>
                          </wps:spPr>
                          <wps:bodyPr wrap="square" upright="1"/>
                        </wps:wsp>
                        <wps:wsp>
                          <wps:cNvPr id="2" name="任意多边形 5"/>
                          <wps:cNvSpPr/>
                          <wps:spPr>
                            <a:xfrm>
                              <a:off x="0" y="0"/>
                              <a:ext cx="4352" cy="2358"/>
                            </a:xfrm>
                            <a:custGeom>
                              <a:avLst/>
                              <a:gdLst/>
                              <a:ahLst/>
                              <a:cxnLst/>
                              <a:pathLst>
                                <a:path w="4352" h="2358">
                                  <a:moveTo>
                                    <a:pt x="15" y="15"/>
                                  </a:moveTo>
                                  <a:lnTo>
                                    <a:pt x="7" y="15"/>
                                  </a:lnTo>
                                  <a:lnTo>
                                    <a:pt x="15" y="7"/>
                                  </a:lnTo>
                                  <a:lnTo>
                                    <a:pt x="15" y="15"/>
                                  </a:lnTo>
                                  <a:close/>
                                </a:path>
                              </a:pathLst>
                            </a:custGeom>
                            <a:solidFill>
                              <a:srgbClr val="000000">
                                <a:alpha val="100000"/>
                              </a:srgbClr>
                            </a:solidFill>
                            <a:ln>
                              <a:noFill/>
                            </a:ln>
                          </wps:spPr>
                          <wps:bodyPr wrap="square" upright="1"/>
                        </wps:wsp>
                        <wps:wsp>
                          <wps:cNvPr id="3" name="任意多边形 6"/>
                          <wps:cNvSpPr/>
                          <wps:spPr>
                            <a:xfrm>
                              <a:off x="0" y="0"/>
                              <a:ext cx="4352" cy="2358"/>
                            </a:xfrm>
                            <a:custGeom>
                              <a:avLst/>
                              <a:gdLst/>
                              <a:ahLst/>
                              <a:cxnLst/>
                              <a:pathLst>
                                <a:path w="4352" h="2358">
                                  <a:moveTo>
                                    <a:pt x="4337" y="15"/>
                                  </a:moveTo>
                                  <a:lnTo>
                                    <a:pt x="15" y="15"/>
                                  </a:lnTo>
                                  <a:lnTo>
                                    <a:pt x="15" y="7"/>
                                  </a:lnTo>
                                  <a:lnTo>
                                    <a:pt x="4337" y="7"/>
                                  </a:lnTo>
                                  <a:lnTo>
                                    <a:pt x="4337" y="15"/>
                                  </a:lnTo>
                                  <a:close/>
                                </a:path>
                              </a:pathLst>
                            </a:custGeom>
                            <a:solidFill>
                              <a:srgbClr val="000000">
                                <a:alpha val="100000"/>
                              </a:srgbClr>
                            </a:solidFill>
                            <a:ln>
                              <a:noFill/>
                            </a:ln>
                          </wps:spPr>
                          <wps:bodyPr wrap="square" upright="1"/>
                        </wps:wsp>
                        <wps:wsp>
                          <wps:cNvPr id="4" name="任意多边形 7"/>
                          <wps:cNvSpPr/>
                          <wps:spPr>
                            <a:xfrm>
                              <a:off x="0" y="0"/>
                              <a:ext cx="4352" cy="2358"/>
                            </a:xfrm>
                            <a:custGeom>
                              <a:avLst/>
                              <a:gdLst/>
                              <a:ahLst/>
                              <a:cxnLst/>
                              <a:pathLst>
                                <a:path w="4352" h="2358">
                                  <a:moveTo>
                                    <a:pt x="4337" y="2350"/>
                                  </a:moveTo>
                                  <a:lnTo>
                                    <a:pt x="4337" y="7"/>
                                  </a:lnTo>
                                  <a:lnTo>
                                    <a:pt x="4344" y="15"/>
                                  </a:lnTo>
                                  <a:lnTo>
                                    <a:pt x="4352" y="15"/>
                                  </a:lnTo>
                                  <a:lnTo>
                                    <a:pt x="4352" y="2343"/>
                                  </a:lnTo>
                                  <a:lnTo>
                                    <a:pt x="4344" y="2343"/>
                                  </a:lnTo>
                                  <a:lnTo>
                                    <a:pt x="4337" y="2350"/>
                                  </a:lnTo>
                                  <a:close/>
                                </a:path>
                              </a:pathLst>
                            </a:custGeom>
                            <a:solidFill>
                              <a:srgbClr val="000000">
                                <a:alpha val="100000"/>
                              </a:srgbClr>
                            </a:solidFill>
                            <a:ln>
                              <a:noFill/>
                            </a:ln>
                          </wps:spPr>
                          <wps:bodyPr wrap="square" upright="1"/>
                        </wps:wsp>
                        <wps:wsp>
                          <wps:cNvPr id="5" name="任意多边形 8"/>
                          <wps:cNvSpPr/>
                          <wps:spPr>
                            <a:xfrm>
                              <a:off x="0" y="0"/>
                              <a:ext cx="4352" cy="2358"/>
                            </a:xfrm>
                            <a:custGeom>
                              <a:avLst/>
                              <a:gdLst/>
                              <a:ahLst/>
                              <a:cxnLst/>
                              <a:pathLst>
                                <a:path w="4352" h="2358">
                                  <a:moveTo>
                                    <a:pt x="4352" y="15"/>
                                  </a:moveTo>
                                  <a:lnTo>
                                    <a:pt x="4344" y="15"/>
                                  </a:lnTo>
                                  <a:lnTo>
                                    <a:pt x="4337" y="7"/>
                                  </a:lnTo>
                                  <a:lnTo>
                                    <a:pt x="4352" y="7"/>
                                  </a:lnTo>
                                  <a:lnTo>
                                    <a:pt x="4352" y="15"/>
                                  </a:lnTo>
                                  <a:close/>
                                </a:path>
                              </a:pathLst>
                            </a:custGeom>
                            <a:solidFill>
                              <a:srgbClr val="000000">
                                <a:alpha val="100000"/>
                              </a:srgbClr>
                            </a:solidFill>
                            <a:ln>
                              <a:noFill/>
                            </a:ln>
                          </wps:spPr>
                          <wps:bodyPr wrap="square" upright="1"/>
                        </wps:wsp>
                        <wps:wsp>
                          <wps:cNvPr id="6" name="任意多边形 9"/>
                          <wps:cNvSpPr/>
                          <wps:spPr>
                            <a:xfrm>
                              <a:off x="0" y="0"/>
                              <a:ext cx="4352" cy="2358"/>
                            </a:xfrm>
                            <a:custGeom>
                              <a:avLst/>
                              <a:gdLst/>
                              <a:ahLst/>
                              <a:cxnLst/>
                              <a:pathLst>
                                <a:path w="4352" h="2358">
                                  <a:moveTo>
                                    <a:pt x="15" y="2350"/>
                                  </a:moveTo>
                                  <a:lnTo>
                                    <a:pt x="7" y="2343"/>
                                  </a:lnTo>
                                  <a:lnTo>
                                    <a:pt x="15" y="2343"/>
                                  </a:lnTo>
                                  <a:lnTo>
                                    <a:pt x="15" y="2350"/>
                                  </a:lnTo>
                                  <a:close/>
                                </a:path>
                              </a:pathLst>
                            </a:custGeom>
                            <a:solidFill>
                              <a:srgbClr val="000000">
                                <a:alpha val="100000"/>
                              </a:srgbClr>
                            </a:solidFill>
                            <a:ln>
                              <a:noFill/>
                            </a:ln>
                          </wps:spPr>
                          <wps:bodyPr wrap="square" upright="1"/>
                        </wps:wsp>
                        <wps:wsp>
                          <wps:cNvPr id="7" name="任意多边形 10"/>
                          <wps:cNvSpPr/>
                          <wps:spPr>
                            <a:xfrm>
                              <a:off x="0" y="0"/>
                              <a:ext cx="4352" cy="2358"/>
                            </a:xfrm>
                            <a:custGeom>
                              <a:avLst/>
                              <a:gdLst/>
                              <a:ahLst/>
                              <a:cxnLst/>
                              <a:pathLst>
                                <a:path w="4352" h="2358">
                                  <a:moveTo>
                                    <a:pt x="4337" y="2350"/>
                                  </a:moveTo>
                                  <a:lnTo>
                                    <a:pt x="15" y="2350"/>
                                  </a:lnTo>
                                  <a:lnTo>
                                    <a:pt x="15" y="2343"/>
                                  </a:lnTo>
                                  <a:lnTo>
                                    <a:pt x="4337" y="2343"/>
                                  </a:lnTo>
                                  <a:lnTo>
                                    <a:pt x="4337" y="2350"/>
                                  </a:lnTo>
                                  <a:close/>
                                </a:path>
                              </a:pathLst>
                            </a:custGeom>
                            <a:solidFill>
                              <a:srgbClr val="000000">
                                <a:alpha val="100000"/>
                              </a:srgbClr>
                            </a:solidFill>
                            <a:ln>
                              <a:noFill/>
                            </a:ln>
                          </wps:spPr>
                          <wps:bodyPr wrap="square" upright="1"/>
                        </wps:wsp>
                        <wps:wsp>
                          <wps:cNvPr id="8" name="任意多边形 11"/>
                          <wps:cNvSpPr/>
                          <wps:spPr>
                            <a:xfrm>
                              <a:off x="0" y="0"/>
                              <a:ext cx="4352" cy="2358"/>
                            </a:xfrm>
                            <a:custGeom>
                              <a:avLst/>
                              <a:gdLst/>
                              <a:ahLst/>
                              <a:cxnLst/>
                              <a:pathLst>
                                <a:path w="4352" h="2358">
                                  <a:moveTo>
                                    <a:pt x="4352" y="2350"/>
                                  </a:moveTo>
                                  <a:lnTo>
                                    <a:pt x="4337" y="2350"/>
                                  </a:lnTo>
                                  <a:lnTo>
                                    <a:pt x="4344" y="2343"/>
                                  </a:lnTo>
                                  <a:lnTo>
                                    <a:pt x="4352" y="2343"/>
                                  </a:lnTo>
                                  <a:lnTo>
                                    <a:pt x="4352" y="2350"/>
                                  </a:lnTo>
                                  <a:close/>
                                </a:path>
                              </a:pathLst>
                            </a:custGeom>
                            <a:solidFill>
                              <a:srgbClr val="000000">
                                <a:alpha val="100000"/>
                              </a:srgbClr>
                            </a:solidFill>
                            <a:ln>
                              <a:noFill/>
                            </a:ln>
                          </wps:spPr>
                          <wps:bodyPr wrap="square" upright="1"/>
                        </wps:wsp>
                      </wpg:grpSp>
                      <wps:wsp>
                        <wps:cNvPr id="10" name="文本框 12"/>
                        <wps:cNvSpPr txBox="1"/>
                        <wps:spPr>
                          <a:xfrm>
                            <a:off x="1022" y="139"/>
                            <a:ext cx="2309" cy="521"/>
                          </a:xfrm>
                          <a:prstGeom prst="rect">
                            <a:avLst/>
                          </a:prstGeom>
                          <a:noFill/>
                          <a:ln>
                            <a:noFill/>
                          </a:ln>
                        </wps:spPr>
                        <wps:txbx>
                          <w:txbxContent>
                            <w:p>
                              <w:pPr>
                                <w:pStyle w:val="11"/>
                                <w:kinsoku w:val="0"/>
                                <w:overflowPunct w:val="0"/>
                                <w:spacing w:after="93" w:line="209" w:lineRule="exact"/>
                                <w:ind w:firstLine="0" w:firstLineChars="0"/>
                                <w:jc w:val="center"/>
                                <w:rPr>
                                  <w:rFonts w:hint="eastAsia"/>
                                  <w:spacing w:val="2"/>
                                  <w:w w:val="99"/>
                                  <w:sz w:val="21"/>
                                  <w:szCs w:val="21"/>
                                </w:rPr>
                              </w:pPr>
                              <w:r>
                                <w:rPr>
                                  <w:spacing w:val="-1"/>
                                  <w:w w:val="99"/>
                                  <w:sz w:val="21"/>
                                  <w:szCs w:val="21"/>
                                </w:rPr>
                                <w:t>法</w:t>
                              </w:r>
                              <w:r>
                                <w:rPr>
                                  <w:spacing w:val="2"/>
                                  <w:w w:val="99"/>
                                  <w:sz w:val="21"/>
                                  <w:szCs w:val="21"/>
                                </w:rPr>
                                <w:t>定</w:t>
                              </w:r>
                              <w:r>
                                <w:rPr>
                                  <w:spacing w:val="-1"/>
                                  <w:w w:val="99"/>
                                  <w:sz w:val="21"/>
                                  <w:szCs w:val="21"/>
                                </w:rPr>
                                <w:t>代</w:t>
                              </w:r>
                              <w:r>
                                <w:rPr>
                                  <w:spacing w:val="2"/>
                                  <w:w w:val="99"/>
                                  <w:sz w:val="21"/>
                                  <w:szCs w:val="21"/>
                                </w:rPr>
                                <w:t>表</w:t>
                              </w:r>
                              <w:r>
                                <w:rPr>
                                  <w:w w:val="99"/>
                                  <w:sz w:val="21"/>
                                  <w:szCs w:val="21"/>
                                </w:rPr>
                                <w:t>人</w:t>
                              </w:r>
                              <w:r>
                                <w:rPr>
                                  <w:spacing w:val="-1"/>
                                  <w:w w:val="99"/>
                                  <w:sz w:val="21"/>
                                  <w:szCs w:val="21"/>
                                </w:rPr>
                                <w:t>居</w:t>
                              </w:r>
                              <w:r>
                                <w:rPr>
                                  <w:spacing w:val="2"/>
                                  <w:w w:val="99"/>
                                  <w:sz w:val="21"/>
                                  <w:szCs w:val="21"/>
                                </w:rPr>
                                <w:t>民</w:t>
                              </w:r>
                            </w:p>
                            <w:p>
                              <w:pPr>
                                <w:pStyle w:val="11"/>
                                <w:kinsoku w:val="0"/>
                                <w:overflowPunct w:val="0"/>
                                <w:spacing w:after="93" w:line="209" w:lineRule="exact"/>
                                <w:ind w:firstLine="0" w:firstLineChars="0"/>
                                <w:jc w:val="center"/>
                              </w:pPr>
                              <w:r>
                                <w:rPr>
                                  <w:spacing w:val="-1"/>
                                  <w:w w:val="99"/>
                                  <w:sz w:val="21"/>
                                  <w:szCs w:val="21"/>
                                </w:rPr>
                                <w:t>身</w:t>
                              </w:r>
                              <w:r>
                                <w:rPr>
                                  <w:spacing w:val="2"/>
                                  <w:w w:val="99"/>
                                  <w:sz w:val="21"/>
                                  <w:szCs w:val="21"/>
                                </w:rPr>
                                <w:t>份</w:t>
                              </w:r>
                              <w:r>
                                <w:rPr>
                                  <w:spacing w:val="-1"/>
                                  <w:w w:val="99"/>
                                  <w:sz w:val="21"/>
                                  <w:szCs w:val="21"/>
                                </w:rPr>
                                <w:t>证</w:t>
                              </w:r>
                              <w:r>
                                <w:rPr>
                                  <w:spacing w:val="2"/>
                                  <w:w w:val="99"/>
                                  <w:sz w:val="21"/>
                                  <w:szCs w:val="21"/>
                                </w:rPr>
                                <w:t>复</w:t>
                              </w:r>
                              <w:r>
                                <w:rPr>
                                  <w:spacing w:val="-1"/>
                                  <w:w w:val="99"/>
                                  <w:sz w:val="21"/>
                                  <w:szCs w:val="21"/>
                                </w:rPr>
                                <w:t>印</w:t>
                              </w:r>
                              <w:r>
                                <w:rPr>
                                  <w:spacing w:val="2"/>
                                  <w:w w:val="99"/>
                                  <w:sz w:val="21"/>
                                  <w:szCs w:val="21"/>
                                </w:rPr>
                                <w:t>件</w:t>
                              </w:r>
                              <w:r>
                                <w:rPr>
                                  <w:spacing w:val="-1"/>
                                  <w:w w:val="99"/>
                                  <w:sz w:val="21"/>
                                  <w:szCs w:val="21"/>
                                </w:rPr>
                                <w:t>粘</w:t>
                              </w:r>
                              <w:r>
                                <w:rPr>
                                  <w:spacing w:val="2"/>
                                  <w:w w:val="99"/>
                                  <w:sz w:val="21"/>
                                  <w:szCs w:val="21"/>
                                </w:rPr>
                                <w:t>贴处</w:t>
                              </w:r>
                            </w:p>
                          </w:txbxContent>
                        </wps:txbx>
                        <wps:bodyPr wrap="square" lIns="0" tIns="0" rIns="0" bIns="0" upright="1"/>
                      </wps:wsp>
                      <wps:wsp>
                        <wps:cNvPr id="11" name="文本框 13"/>
                        <wps:cNvSpPr txBox="1"/>
                        <wps:spPr>
                          <a:xfrm>
                            <a:off x="1756" y="1075"/>
                            <a:ext cx="838" cy="209"/>
                          </a:xfrm>
                          <a:prstGeom prst="rect">
                            <a:avLst/>
                          </a:prstGeom>
                          <a:noFill/>
                          <a:ln>
                            <a:noFill/>
                          </a:ln>
                        </wps:spPr>
                        <wps:txbx>
                          <w:txbxContent>
                            <w:p>
                              <w:pPr>
                                <w:pStyle w:val="11"/>
                                <w:kinsoku w:val="0"/>
                                <w:overflowPunct w:val="0"/>
                                <w:spacing w:after="93" w:line="209" w:lineRule="exact"/>
                                <w:ind w:firstLine="0" w:firstLineChars="0"/>
                                <w:rPr>
                                  <w:szCs w:val="24"/>
                                </w:rPr>
                              </w:pPr>
                              <w:r>
                                <w:rPr>
                                  <w:spacing w:val="-1"/>
                                  <w:w w:val="99"/>
                                  <w:szCs w:val="24"/>
                                </w:rPr>
                                <w:t>（</w:t>
                              </w:r>
                              <w:r>
                                <w:rPr>
                                  <w:spacing w:val="2"/>
                                  <w:w w:val="99"/>
                                  <w:szCs w:val="24"/>
                                </w:rPr>
                                <w:t>正</w:t>
                              </w:r>
                              <w:r>
                                <w:rPr>
                                  <w:spacing w:val="-1"/>
                                  <w:w w:val="99"/>
                                  <w:szCs w:val="24"/>
                                </w:rPr>
                                <w:t>面</w:t>
                              </w:r>
                              <w:r>
                                <w:rPr>
                                  <w:w w:val="99"/>
                                  <w:szCs w:val="24"/>
                                </w:rPr>
                                <w:t>）</w:t>
                              </w:r>
                            </w:p>
                          </w:txbxContent>
                        </wps:txbx>
                        <wps:bodyPr wrap="square" lIns="0" tIns="0" rIns="0" bIns="0" upright="1"/>
                      </wps:wsp>
                    </wpg:wgp>
                  </a:graphicData>
                </a:graphic>
              </wp:anchor>
            </w:drawing>
          </mc:Choice>
          <mc:Fallback>
            <w:pict>
              <v:group id="组合 2" o:spid="_x0000_s1026" o:spt="203" style="position:absolute;left:0pt;margin-left:-2.5pt;margin-top:2.25pt;height:117.9pt;width:217.6pt;mso-wrap-distance-bottom:0pt;mso-wrap-distance-top:0pt;z-index:251658240;mso-width-relative:page;mso-height-relative:page;" coordsize="4352,2358" o:allowincell="f" o:gfxdata="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">
                <o:lock v:ext="edit" rotation="f" aspectratio="f"/>
                <v:group id="组合 3" o:spid="_x0000_s1026" o:spt="203" style="position:absolute;left:0;top:0;height:2358;width:4352;" coordsize="4352,235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任意多边形 4" o:spid="_x0000_s1026" o:spt="100" style="position:absolute;left:0;top:0;height:2358;width:4352;" fillcolor="#000000" filled="t" stroked="f" coordsize="4352,2358" o:gfxdata="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DWxC8AAAA&#10;2gAAAA8AAAAAAAAAAQAgAAAAIgAAAGRycy9kb3ducmV2LnhtbFBLAQIUABQAAAAIAIdO4kAzLwWe&#10;OwAAADkAAAAQAAAAAAAAAAEAIAAAAAsBAABkcnMvc2hhcGV4bWwueG1sUEsFBgAAAAAGAAYAWwEA&#10;ALUDAAAAAA==&#10;" path="m4352,2358l0,2358,0,0,4352,0,4352,7,15,7,7,15,15,15,15,2343,7,2343,15,2350,4352,2350,4352,2358xe">
                    <v:fill on="t" focussize="0,0"/>
                    <v:stroke on="f"/>
                    <v:imagedata o:title=""/>
                    <o:lock v:ext="edit" aspectratio="f"/>
                  </v:shape>
                  <v:shape id="任意多边形 5" o:spid="_x0000_s1026" o:spt="100" style="position:absolute;left:0;top:0;height:2358;width:4352;" fillcolor="#000000" filled="t" stroked="f" coordsize="4352,2358" o:gfxdata="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HFZ74A&#10;AADaAAAADwAAAAAAAAABACAAAAAiAAAAZHJzL2Rvd25yZXYueG1sUEsBAhQAFAAAAAgAh07iQDMv&#10;BZ47AAAAOQAAABAAAAAAAAAAAQAgAAAADQEAAGRycy9zaGFwZXhtbC54bWxQSwUGAAAAAAYABgBb&#10;AQAAtwMAAAAA&#10;" path="m15,15l7,15,15,7,15,15xe">
                    <v:fill on="t" focussize="0,0"/>
                    <v:stroke on="f"/>
                    <v:imagedata o:title=""/>
                    <o:lock v:ext="edit" aspectratio="f"/>
                  </v:shape>
                  <v:shape id="任意多边形 6" o:spid="_x0000_s1026" o:spt="100" style="position:absolute;left:0;top:0;height:2358;width:4352;" fillcolor="#000000" filled="t" stroked="f" coordsize="4352,2358" o:gfxdata="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dYPy/&#10;AAAA2gAAAA8AAAAAAAAAAQAgAAAAIgAAAGRycy9kb3ducmV2LnhtbFBLAQIUABQAAAAIAIdO4kAz&#10;LwWeOwAAADkAAAAQAAAAAAAAAAEAIAAAAA4BAABkcnMvc2hhcGV4bWwueG1sUEsFBgAAAAAGAAYA&#10;WwEAALgDAAAAAA==&#10;" path="m4337,15l15,15,15,7,4337,7,4337,15xe">
                    <v:fill on="t" focussize="0,0"/>
                    <v:stroke on="f"/>
                    <v:imagedata o:title=""/>
                    <o:lock v:ext="edit" aspectratio="f"/>
                  </v:shape>
                  <v:shape id="任意多边形 7" o:spid="_x0000_s1026" o:spt="100" style="position:absolute;left:0;top:0;height:2358;width:4352;" fillcolor="#000000" filled="t" stroked="f" coordsize="4352,2358" o:gfxdata="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0+Ii/&#10;AAAA2gAAAA8AAAAAAAAAAQAgAAAAIgAAAGRycy9kb3ducmV2LnhtbFBLAQIUABQAAAAIAIdO4kAz&#10;LwWeOwAAADkAAAAQAAAAAAAAAAEAIAAAAA4BAABkcnMvc2hhcGV4bWwueG1sUEsFBgAAAAAGAAYA&#10;WwEAALgDAAAAAA==&#10;" path="m4337,2350l4337,7,4344,15,4352,15,4352,2343,4344,2343,4337,2350xe">
                    <v:fill on="t" focussize="0,0"/>
                    <v:stroke on="f"/>
                    <v:imagedata o:title=""/>
                    <o:lock v:ext="edit" aspectratio="f"/>
                  </v:shape>
                  <v:shape id="任意多边形 8" o:spid="_x0000_s1026" o:spt="100" style="position:absolute;left:0;top:0;height:2358;width:4352;" fillcolor="#000000" filled="t" stroked="f" coordsize="4352,2358" o:gfxdata="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4XRO/&#10;AAAA2gAAAA8AAAAAAAAAAQAgAAAAIgAAAGRycy9kb3ducmV2LnhtbFBLAQIUABQAAAAIAIdO4kAz&#10;LwWeOwAAADkAAAAQAAAAAAAAAAEAIAAAAA4BAABkcnMvc2hhcGV4bWwueG1sUEsFBgAAAAAGAAYA&#10;WwEAALgDAAAAAA==&#10;" path="m4352,15l4344,15,4337,7,4352,7,4352,15xe">
                    <v:fill on="t" focussize="0,0"/>
                    <v:stroke on="f"/>
                    <v:imagedata o:title=""/>
                    <o:lock v:ext="edit" aspectratio="f"/>
                  </v:shape>
                  <v:shape id="任意多边形 9" o:spid="_x0000_s1026" o:spt="100" style="position:absolute;left:0;top:0;height:2358;width:4352;" fillcolor="#000000" filled="t" stroked="f" coordsize="4352,2358" o:gfxdata="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rDZL4A&#10;AADaAAAADwAAAAAAAAABACAAAAAiAAAAZHJzL2Rvd25yZXYueG1sUEsBAhQAFAAAAAgAh07iQDMv&#10;BZ47AAAAOQAAABAAAAAAAAAAAQAgAAAADQEAAGRycy9zaGFwZXhtbC54bWxQSwUGAAAAAAYABgBb&#10;AQAAtwMAAAAA&#10;" path="m15,2350l7,2343,15,2343,15,2350xe">
                    <v:fill on="t" focussize="0,0"/>
                    <v:stroke on="f"/>
                    <v:imagedata o:title=""/>
                    <o:lock v:ext="edit" aspectratio="f"/>
                  </v:shape>
                  <v:shape id="任意多边形 10" o:spid="_x0000_s1026" o:spt="100" style="position:absolute;left:0;top:0;height:2358;width:4352;" fillcolor="#000000" filled="t" stroked="f" coordsize="4352,2358" o:gfxdata="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mZv+/&#10;AAAA2gAAAA8AAAAAAAAAAQAgAAAAIgAAAGRycy9kb3ducmV2LnhtbFBLAQIUABQAAAAIAIdO4kAz&#10;LwWeOwAAADkAAAAQAAAAAAAAAAEAIAAAAA4BAABkcnMvc2hhcGV4bWwueG1sUEsFBgAAAAAGAAYA&#10;WwEAALgDAAAAAA==&#10;" path="m4337,2350l15,2350,15,2343,4337,2343,4337,2350xe">
                    <v:fill on="t" focussize="0,0"/>
                    <v:stroke on="f"/>
                    <v:imagedata o:title=""/>
                    <o:lock v:ext="edit" aspectratio="f"/>
                  </v:shape>
                  <v:shape id="任意多边形 11" o:spid="_x0000_s1026" o:spt="100" style="position:absolute;left:0;top:0;height:2358;width:4352;" fillcolor="#000000" filled="t" stroked="f" coordsize="4352,2358" o:gfxdata="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HnyjbsAAADa&#10;AAAADwAAAAAAAAABACAAAAAiAAAAZHJzL2Rvd25yZXYueG1sUEsBAhQAFAAAAAgAh07iQDMvBZ47&#10;AAAAOQAAABAAAAAAAAAAAQAgAAAACgEAAGRycy9zaGFwZXhtbC54bWxQSwUGAAAAAAYABgBbAQAA&#10;tAMAAAAA&#10;" path="m4352,2350l4337,2350,4344,2343,4352,2343,4352,2350xe">
                    <v:fill on="t" focussize="0,0"/>
                    <v:stroke on="f"/>
                    <v:imagedata o:title=""/>
                    <o:lock v:ext="edit" aspectratio="f"/>
                  </v:shape>
                </v:group>
                <v:shape id="文本框 12" o:spid="_x0000_s1026" o:spt="202" type="#_x0000_t202" style="position:absolute;left:1022;top:139;height:521;width:2309;"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kinsoku w:val="0"/>
                          <w:overflowPunct w:val="0"/>
                          <w:spacing w:after="93" w:line="209" w:lineRule="exact"/>
                          <w:ind w:firstLine="0" w:firstLineChars="0"/>
                          <w:jc w:val="center"/>
                          <w:rPr>
                            <w:rFonts w:hint="eastAsia"/>
                            <w:spacing w:val="2"/>
                            <w:w w:val="99"/>
                            <w:sz w:val="21"/>
                            <w:szCs w:val="21"/>
                          </w:rPr>
                        </w:pPr>
                        <w:r>
                          <w:rPr>
                            <w:spacing w:val="-1"/>
                            <w:w w:val="99"/>
                            <w:sz w:val="21"/>
                            <w:szCs w:val="21"/>
                          </w:rPr>
                          <w:t>法</w:t>
                        </w:r>
                        <w:r>
                          <w:rPr>
                            <w:spacing w:val="2"/>
                            <w:w w:val="99"/>
                            <w:sz w:val="21"/>
                            <w:szCs w:val="21"/>
                          </w:rPr>
                          <w:t>定</w:t>
                        </w:r>
                        <w:r>
                          <w:rPr>
                            <w:spacing w:val="-1"/>
                            <w:w w:val="99"/>
                            <w:sz w:val="21"/>
                            <w:szCs w:val="21"/>
                          </w:rPr>
                          <w:t>代</w:t>
                        </w:r>
                        <w:r>
                          <w:rPr>
                            <w:spacing w:val="2"/>
                            <w:w w:val="99"/>
                            <w:sz w:val="21"/>
                            <w:szCs w:val="21"/>
                          </w:rPr>
                          <w:t>表</w:t>
                        </w:r>
                        <w:r>
                          <w:rPr>
                            <w:w w:val="99"/>
                            <w:sz w:val="21"/>
                            <w:szCs w:val="21"/>
                          </w:rPr>
                          <w:t>人</w:t>
                        </w:r>
                        <w:r>
                          <w:rPr>
                            <w:spacing w:val="-1"/>
                            <w:w w:val="99"/>
                            <w:sz w:val="21"/>
                            <w:szCs w:val="21"/>
                          </w:rPr>
                          <w:t>居</w:t>
                        </w:r>
                        <w:r>
                          <w:rPr>
                            <w:spacing w:val="2"/>
                            <w:w w:val="99"/>
                            <w:sz w:val="21"/>
                            <w:szCs w:val="21"/>
                          </w:rPr>
                          <w:t>民</w:t>
                        </w:r>
                      </w:p>
                      <w:p>
                        <w:pPr>
                          <w:pStyle w:val="11"/>
                          <w:kinsoku w:val="0"/>
                          <w:overflowPunct w:val="0"/>
                          <w:spacing w:after="93" w:line="209" w:lineRule="exact"/>
                          <w:ind w:firstLine="0" w:firstLineChars="0"/>
                          <w:jc w:val="center"/>
                        </w:pPr>
                        <w:r>
                          <w:rPr>
                            <w:spacing w:val="-1"/>
                            <w:w w:val="99"/>
                            <w:sz w:val="21"/>
                            <w:szCs w:val="21"/>
                          </w:rPr>
                          <w:t>身</w:t>
                        </w:r>
                        <w:r>
                          <w:rPr>
                            <w:spacing w:val="2"/>
                            <w:w w:val="99"/>
                            <w:sz w:val="21"/>
                            <w:szCs w:val="21"/>
                          </w:rPr>
                          <w:t>份</w:t>
                        </w:r>
                        <w:r>
                          <w:rPr>
                            <w:spacing w:val="-1"/>
                            <w:w w:val="99"/>
                            <w:sz w:val="21"/>
                            <w:szCs w:val="21"/>
                          </w:rPr>
                          <w:t>证</w:t>
                        </w:r>
                        <w:r>
                          <w:rPr>
                            <w:spacing w:val="2"/>
                            <w:w w:val="99"/>
                            <w:sz w:val="21"/>
                            <w:szCs w:val="21"/>
                          </w:rPr>
                          <w:t>复</w:t>
                        </w:r>
                        <w:r>
                          <w:rPr>
                            <w:spacing w:val="-1"/>
                            <w:w w:val="99"/>
                            <w:sz w:val="21"/>
                            <w:szCs w:val="21"/>
                          </w:rPr>
                          <w:t>印</w:t>
                        </w:r>
                        <w:r>
                          <w:rPr>
                            <w:spacing w:val="2"/>
                            <w:w w:val="99"/>
                            <w:sz w:val="21"/>
                            <w:szCs w:val="21"/>
                          </w:rPr>
                          <w:t>件</w:t>
                        </w:r>
                        <w:r>
                          <w:rPr>
                            <w:spacing w:val="-1"/>
                            <w:w w:val="99"/>
                            <w:sz w:val="21"/>
                            <w:szCs w:val="21"/>
                          </w:rPr>
                          <w:t>粘</w:t>
                        </w:r>
                        <w:r>
                          <w:rPr>
                            <w:spacing w:val="2"/>
                            <w:w w:val="99"/>
                            <w:sz w:val="21"/>
                            <w:szCs w:val="21"/>
                          </w:rPr>
                          <w:t>贴处</w:t>
                        </w:r>
                      </w:p>
                    </w:txbxContent>
                  </v:textbox>
                </v:shape>
                <v:shape id="文本框 13" o:spid="_x0000_s1026" o:spt="202" type="#_x0000_t202" style="position:absolute;left:1756;top:1075;height:209;width:838;"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11"/>
                          <w:kinsoku w:val="0"/>
                          <w:overflowPunct w:val="0"/>
                          <w:spacing w:after="93" w:line="209" w:lineRule="exact"/>
                          <w:ind w:firstLine="0" w:firstLineChars="0"/>
                          <w:rPr>
                            <w:szCs w:val="24"/>
                          </w:rPr>
                        </w:pPr>
                        <w:r>
                          <w:rPr>
                            <w:spacing w:val="-1"/>
                            <w:w w:val="99"/>
                            <w:szCs w:val="24"/>
                          </w:rPr>
                          <w:t>（</w:t>
                        </w:r>
                        <w:r>
                          <w:rPr>
                            <w:spacing w:val="2"/>
                            <w:w w:val="99"/>
                            <w:szCs w:val="24"/>
                          </w:rPr>
                          <w:t>正</w:t>
                        </w:r>
                        <w:r>
                          <w:rPr>
                            <w:spacing w:val="-1"/>
                            <w:w w:val="99"/>
                            <w:szCs w:val="24"/>
                          </w:rPr>
                          <w:t>面</w:t>
                        </w:r>
                        <w:r>
                          <w:rPr>
                            <w:w w:val="99"/>
                            <w:szCs w:val="24"/>
                          </w:rPr>
                          <w:t>）</w:t>
                        </w:r>
                      </w:p>
                    </w:txbxContent>
                  </v:textbox>
                </v:shape>
                <w10:wrap type="topAndBottom"/>
              </v:group>
            </w:pict>
          </mc:Fallback>
        </mc:AlternateContent>
      </w:r>
    </w:p>
    <w:p>
      <w:pPr>
        <w:spacing w:line="440" w:lineRule="exact"/>
        <w:rPr>
          <w:rFonts w:hint="eastAsia"/>
          <w:color w:val="FF0000"/>
        </w:rPr>
      </w:pPr>
    </w:p>
    <w:p>
      <w:pPr>
        <w:spacing w:line="440" w:lineRule="exact"/>
        <w:rPr>
          <w:rFonts w:hint="eastAsia"/>
          <w:color w:val="FF0000"/>
        </w:rPr>
      </w:pPr>
    </w:p>
    <w:p>
      <w:pPr>
        <w:spacing w:line="440" w:lineRule="exact"/>
        <w:rPr>
          <w:rFonts w:hint="eastAsia"/>
          <w:color w:val="FF0000"/>
        </w:rPr>
      </w:pPr>
    </w:p>
    <w:p>
      <w:pPr>
        <w:spacing w:line="440" w:lineRule="exact"/>
        <w:rPr>
          <w:rFonts w:hint="eastAsia"/>
          <w:color w:val="FF0000"/>
        </w:rPr>
      </w:pPr>
    </w:p>
    <w:p>
      <w:pPr>
        <w:spacing w:line="440" w:lineRule="exact"/>
        <w:rPr>
          <w:rFonts w:hint="eastAsia"/>
          <w:color w:val="FF0000"/>
        </w:rPr>
      </w:pPr>
    </w:p>
    <w:p>
      <w:pPr>
        <w:spacing w:line="440" w:lineRule="exact"/>
        <w:jc w:val="center"/>
        <w:rPr>
          <w:rFonts w:hint="eastAsia" w:ascii="宋体" w:hAnsi="宋体"/>
          <w:b/>
          <w:bCs/>
          <w:color w:val="FF0000"/>
          <w:sz w:val="24"/>
        </w:rPr>
      </w:pPr>
    </w:p>
    <w:p>
      <w:pPr>
        <w:spacing w:line="440" w:lineRule="exact"/>
        <w:jc w:val="center"/>
        <w:rPr>
          <w:rFonts w:hint="eastAsia" w:ascii="宋体" w:hAnsi="宋体"/>
          <w:b/>
          <w:bCs/>
          <w:sz w:val="24"/>
        </w:rPr>
      </w:pPr>
      <w:r>
        <w:rPr>
          <w:rFonts w:ascii="宋体" w:hAnsi="宋体"/>
          <w:b/>
          <w:bCs/>
          <w:color w:val="FF0000"/>
          <w:sz w:val="24"/>
        </w:rPr>
        <w:br w:type="page"/>
      </w:r>
      <w:r>
        <w:rPr>
          <w:rFonts w:hint="eastAsia" w:ascii="宋体" w:hAnsi="宋体"/>
          <w:b/>
          <w:bCs/>
          <w:sz w:val="24"/>
        </w:rPr>
        <w:t>7-5.2法人授权委托证明书</w:t>
      </w:r>
    </w:p>
    <w:p>
      <w:pPr>
        <w:spacing w:line="440" w:lineRule="exact"/>
        <w:jc w:val="center"/>
        <w:rPr>
          <w:rFonts w:ascii="宋体" w:hAnsi="宋体"/>
          <w:sz w:val="24"/>
        </w:rPr>
      </w:pPr>
    </w:p>
    <w:p>
      <w:pPr>
        <w:spacing w:line="440" w:lineRule="exact"/>
        <w:ind w:firstLine="420" w:firstLineChars="200"/>
        <w:rPr>
          <w:rFonts w:hint="eastAsia" w:ascii="宋体" w:hAnsi="宋体"/>
          <w:u w:val="single"/>
        </w:rPr>
      </w:pPr>
      <w:r>
        <w:rPr>
          <w:rFonts w:hint="eastAsia"/>
          <w:szCs w:val="21"/>
        </w:rPr>
        <w:t>本授权委托书声明：我</w:t>
      </w:r>
      <w:r>
        <w:rPr>
          <w:rFonts w:hint="eastAsia"/>
          <w:szCs w:val="21"/>
          <w:u w:val="single"/>
        </w:rPr>
        <w:t xml:space="preserve">     （姓名）   </w:t>
      </w:r>
      <w:r>
        <w:rPr>
          <w:rFonts w:hint="eastAsia"/>
          <w:szCs w:val="21"/>
        </w:rPr>
        <w:t>系</w:t>
      </w:r>
      <w:r>
        <w:rPr>
          <w:rFonts w:hint="eastAsia"/>
          <w:szCs w:val="21"/>
          <w:u w:val="single"/>
        </w:rPr>
        <w:t xml:space="preserve">   （投标单位名称）  </w:t>
      </w:r>
      <w:r>
        <w:rPr>
          <w:rFonts w:hint="eastAsia"/>
          <w:szCs w:val="21"/>
        </w:rPr>
        <w:t xml:space="preserve"> 的法定代表人，现授权委托</w:t>
      </w:r>
      <w:r>
        <w:rPr>
          <w:rFonts w:hint="eastAsia"/>
          <w:szCs w:val="21"/>
          <w:u w:val="single"/>
        </w:rPr>
        <w:t xml:space="preserve">    （姓名）        </w:t>
      </w:r>
      <w:r>
        <w:rPr>
          <w:rFonts w:hint="eastAsia"/>
          <w:szCs w:val="21"/>
        </w:rPr>
        <w:t>为</w:t>
      </w:r>
      <w:r>
        <w:rPr>
          <w:rFonts w:hint="eastAsia"/>
          <w:szCs w:val="21"/>
          <w:u w:val="single"/>
        </w:rPr>
        <w:t>我单位签署本项目已递交的投标文件的法定代表人的授权委托代理人，代理人全权代表我所签署的本项目已递交的投标文件内容我均承认</w:t>
      </w:r>
      <w:r>
        <w:rPr>
          <w:rFonts w:hint="eastAsia"/>
          <w:szCs w:val="21"/>
        </w:rPr>
        <w:t>。</w:t>
      </w:r>
    </w:p>
    <w:p>
      <w:pPr>
        <w:spacing w:line="440" w:lineRule="exact"/>
        <w:ind w:firstLine="2835" w:firstLineChars="1350"/>
        <w:rPr>
          <w:rFonts w:hint="eastAsia" w:ascii="宋体" w:hAnsi="宋体"/>
          <w:u w:val="single"/>
        </w:rPr>
      </w:pPr>
      <w:r>
        <w:rPr>
          <w:rFonts w:hint="eastAsia" w:ascii="宋体" w:hAnsi="宋体"/>
        </w:rPr>
        <w:t>投标单位名称（</w:t>
      </w:r>
      <w:r>
        <w:rPr>
          <w:rFonts w:hint="eastAsia" w:ascii="宋体" w:hAnsi="宋体"/>
          <w:b/>
        </w:rPr>
        <w:t>公章</w:t>
      </w:r>
      <w:r>
        <w:rPr>
          <w:rFonts w:hint="eastAsia" w:ascii="宋体" w:hAnsi="宋体"/>
        </w:rPr>
        <w:t>）：</w:t>
      </w:r>
      <w:r>
        <w:rPr>
          <w:rFonts w:hint="eastAsia" w:ascii="宋体" w:hAnsi="宋体"/>
          <w:u w:val="single"/>
        </w:rPr>
        <w:t xml:space="preserve">                             </w:t>
      </w:r>
    </w:p>
    <w:p>
      <w:pPr>
        <w:spacing w:line="440" w:lineRule="exact"/>
        <w:jc w:val="center"/>
        <w:rPr>
          <w:rFonts w:hint="eastAsia" w:ascii="宋体" w:hAnsi="宋体"/>
          <w:u w:val="single"/>
        </w:rPr>
      </w:pPr>
      <w:r>
        <w:rPr>
          <w:rFonts w:hint="eastAsia" w:ascii="宋体" w:hAnsi="宋体"/>
        </w:rPr>
        <w:t xml:space="preserve">         法定代表人（</w:t>
      </w:r>
      <w:r>
        <w:rPr>
          <w:rFonts w:hint="eastAsia" w:ascii="宋体" w:hAnsi="宋体"/>
          <w:b/>
        </w:rPr>
        <w:t>签名或加盖个人印鉴</w:t>
      </w:r>
      <w:r>
        <w:rPr>
          <w:rFonts w:hint="eastAsia" w:ascii="宋体" w:hAnsi="宋体"/>
        </w:rPr>
        <w:t>）：</w:t>
      </w:r>
      <w:r>
        <w:rPr>
          <w:rFonts w:hint="eastAsia" w:ascii="宋体" w:hAnsi="宋体"/>
          <w:u w:val="single"/>
        </w:rPr>
        <w:t xml:space="preserve">                </w:t>
      </w:r>
    </w:p>
    <w:p>
      <w:pPr>
        <w:spacing w:line="440" w:lineRule="exact"/>
        <w:ind w:left="-359" w:leftChars="-171" w:firstLine="3360" w:firstLineChars="1600"/>
        <w:rPr>
          <w:rFonts w:hint="eastAsia" w:ascii="宋体" w:hAnsi="宋体"/>
        </w:rPr>
      </w:pPr>
      <w:r>
        <w:rPr>
          <w:rFonts w:hint="eastAsia" w:ascii="宋体" w:hAnsi="宋体"/>
        </w:rPr>
        <w:t>签发日期：   年   月   日</w:t>
      </w:r>
    </w:p>
    <w:p>
      <w:pPr>
        <w:spacing w:line="440" w:lineRule="exact"/>
        <w:ind w:left="-359" w:leftChars="-171" w:firstLine="735" w:firstLineChars="350"/>
        <w:rPr>
          <w:rFonts w:hint="eastAsia" w:ascii="宋体" w:hAnsi="宋体"/>
        </w:rPr>
      </w:pPr>
      <w:r>
        <w:rPr>
          <w:rFonts w:hint="eastAsia" w:ascii="宋体" w:hAnsi="宋体"/>
        </w:rPr>
        <w:t>说明：</w:t>
      </w:r>
      <w:r>
        <w:rPr>
          <w:rFonts w:ascii="宋体" w:hAnsi="宋体"/>
        </w:rPr>
        <w:t xml:space="preserve">1. </w:t>
      </w:r>
      <w:r>
        <w:rPr>
          <w:rFonts w:hint="eastAsia" w:ascii="宋体" w:hAnsi="宋体"/>
        </w:rPr>
        <w:t>委托书内容必须填写真实、清楚，涂改无效。</w:t>
      </w:r>
    </w:p>
    <w:p>
      <w:pPr>
        <w:spacing w:line="440" w:lineRule="exact"/>
        <w:ind w:left="-358" w:leftChars="-171" w:hanging="1"/>
        <w:rPr>
          <w:rFonts w:hint="eastAsia" w:ascii="宋体" w:hAnsi="宋体"/>
        </w:rPr>
      </w:pPr>
      <w:r>
        <w:rPr>
          <w:rFonts w:ascii="宋体" w:hAnsi="宋体"/>
        </w:rPr>
        <w:t xml:space="preserve">      </w:t>
      </w:r>
      <w:r>
        <w:rPr>
          <w:rFonts w:hint="eastAsia" w:ascii="宋体" w:hAnsi="宋体"/>
        </w:rPr>
        <w:t xml:space="preserve">       </w:t>
      </w:r>
      <w:r>
        <w:rPr>
          <w:rFonts w:ascii="宋体" w:hAnsi="宋体"/>
        </w:rPr>
        <w:t xml:space="preserve">2. </w:t>
      </w:r>
      <w:r>
        <w:rPr>
          <w:rFonts w:hint="eastAsia" w:ascii="宋体" w:hAnsi="宋体"/>
        </w:rPr>
        <w:t>委托书不得转让、买卖。</w:t>
      </w:r>
    </w:p>
    <w:p>
      <w:pPr>
        <w:spacing w:line="440" w:lineRule="exact"/>
        <w:ind w:left="-358" w:leftChars="-171" w:hanging="1"/>
        <w:rPr>
          <w:rFonts w:ascii="宋体" w:hAnsi="宋体"/>
        </w:rPr>
      </w:pPr>
      <w:r>
        <w:rPr>
          <w:rFonts w:ascii="宋体" w:hAnsi="宋体"/>
        </w:rPr>
        <w:t xml:space="preserve">      </w:t>
      </w:r>
      <w:r>
        <w:rPr>
          <w:rFonts w:hint="eastAsia" w:ascii="宋体" w:hAnsi="宋体"/>
        </w:rPr>
        <w:t xml:space="preserve">       </w:t>
      </w:r>
      <w:r>
        <w:rPr>
          <w:rFonts w:ascii="宋体" w:hAnsi="宋体"/>
        </w:rPr>
        <w:t xml:space="preserve">3. </w:t>
      </w:r>
      <w:r>
        <w:rPr>
          <w:rFonts w:hint="eastAsia" w:ascii="宋体" w:hAnsi="宋体"/>
        </w:rPr>
        <w:t>将此委托书提交对方作为合同附件。</w:t>
      </w:r>
    </w:p>
    <w:p>
      <w:pPr>
        <w:spacing w:line="360" w:lineRule="auto"/>
        <w:rPr>
          <w:rFonts w:hint="eastAsia" w:ascii="宋体" w:hAnsi="宋体"/>
          <w:szCs w:val="21"/>
          <w:u w:val="single"/>
        </w:rPr>
      </w:pPr>
    </w:p>
    <w:p>
      <w:pPr>
        <w:spacing w:line="440" w:lineRule="exact"/>
        <w:rPr>
          <w:rFonts w:hint="eastAsia"/>
        </w:rPr>
      </w:pPr>
      <w:r>
        <w:rPr>
          <w:rFonts w:hint="eastAsia"/>
        </w:rPr>
        <w:t>附：委托代理人身份证复印件</w:t>
      </w:r>
    </w:p>
    <w:p>
      <w:pPr>
        <w:spacing w:line="440" w:lineRule="exact"/>
        <w:rPr>
          <w:rFonts w:hint="eastAsia"/>
        </w:rPr>
      </w:pPr>
      <w:r>
        <w:rPr>
          <w:rFonts w:hint="eastAsia"/>
          <w:lang/>
        </w:rPr>
        <mc:AlternateContent>
          <mc:Choice Requires="wpg">
            <w:drawing>
              <wp:anchor distT="0" distB="0" distL="114300" distR="114300" simplePos="0" relativeHeight="251661312" behindDoc="0" locked="0" layoutInCell="0" allowOverlap="1">
                <wp:simplePos x="0" y="0"/>
                <wp:positionH relativeFrom="column">
                  <wp:posOffset>2854325</wp:posOffset>
                </wp:positionH>
                <wp:positionV relativeFrom="paragraph">
                  <wp:posOffset>307975</wp:posOffset>
                </wp:positionV>
                <wp:extent cx="2763520" cy="1642745"/>
                <wp:effectExtent l="0" t="0" r="17780" b="14605"/>
                <wp:wrapNone/>
                <wp:docPr id="48" name="组合 38"/>
                <wp:cNvGraphicFramePr/>
                <a:graphic xmlns:a="http://schemas.openxmlformats.org/drawingml/2006/main">
                  <a:graphicData uri="http://schemas.microsoft.com/office/word/2010/wordprocessingGroup">
                    <wpg:wgp>
                      <wpg:cNvGrpSpPr/>
                      <wpg:grpSpPr>
                        <a:xfrm>
                          <a:off x="0" y="0"/>
                          <a:ext cx="2763520" cy="1642745"/>
                          <a:chOff x="0" y="0"/>
                          <a:chExt cx="4352" cy="2358"/>
                        </a:xfrm>
                      </wpg:grpSpPr>
                      <wpg:grpSp>
                        <wpg:cNvPr id="45" name="组合 39"/>
                        <wpg:cNvGrpSpPr/>
                        <wpg:grpSpPr>
                          <a:xfrm>
                            <a:off x="0" y="0"/>
                            <a:ext cx="4352" cy="2358"/>
                            <a:chOff x="0" y="0"/>
                            <a:chExt cx="4352" cy="2358"/>
                          </a:xfrm>
                        </wpg:grpSpPr>
                        <wps:wsp>
                          <wps:cNvPr id="37" name="任意多边形 40"/>
                          <wps:cNvSpPr/>
                          <wps:spPr>
                            <a:xfrm>
                              <a:off x="0" y="0"/>
                              <a:ext cx="4352" cy="2358"/>
                            </a:xfrm>
                            <a:custGeom>
                              <a:avLst/>
                              <a:gdLst/>
                              <a:ahLst/>
                              <a:cxnLst/>
                              <a:pathLst>
                                <a:path w="4352" h="2358">
                                  <a:moveTo>
                                    <a:pt x="4352" y="2358"/>
                                  </a:moveTo>
                                  <a:lnTo>
                                    <a:pt x="0" y="2358"/>
                                  </a:lnTo>
                                  <a:lnTo>
                                    <a:pt x="0" y="0"/>
                                  </a:lnTo>
                                  <a:lnTo>
                                    <a:pt x="4352" y="0"/>
                                  </a:lnTo>
                                  <a:lnTo>
                                    <a:pt x="4352" y="7"/>
                                  </a:lnTo>
                                  <a:lnTo>
                                    <a:pt x="15" y="7"/>
                                  </a:lnTo>
                                  <a:lnTo>
                                    <a:pt x="7" y="15"/>
                                  </a:lnTo>
                                  <a:lnTo>
                                    <a:pt x="15" y="15"/>
                                  </a:lnTo>
                                  <a:lnTo>
                                    <a:pt x="15" y="2343"/>
                                  </a:lnTo>
                                  <a:lnTo>
                                    <a:pt x="7" y="2343"/>
                                  </a:lnTo>
                                  <a:lnTo>
                                    <a:pt x="15" y="2350"/>
                                  </a:lnTo>
                                  <a:lnTo>
                                    <a:pt x="4352" y="2350"/>
                                  </a:lnTo>
                                  <a:lnTo>
                                    <a:pt x="4352" y="2358"/>
                                  </a:lnTo>
                                  <a:close/>
                                </a:path>
                              </a:pathLst>
                            </a:custGeom>
                            <a:solidFill>
                              <a:srgbClr val="000000">
                                <a:alpha val="100000"/>
                              </a:srgbClr>
                            </a:solidFill>
                            <a:ln>
                              <a:noFill/>
                            </a:ln>
                          </wps:spPr>
                          <wps:bodyPr wrap="square" upright="1"/>
                        </wps:wsp>
                        <wps:wsp>
                          <wps:cNvPr id="38" name="任意多边形 41"/>
                          <wps:cNvSpPr/>
                          <wps:spPr>
                            <a:xfrm>
                              <a:off x="0" y="0"/>
                              <a:ext cx="4352" cy="2358"/>
                            </a:xfrm>
                            <a:custGeom>
                              <a:avLst/>
                              <a:gdLst/>
                              <a:ahLst/>
                              <a:cxnLst/>
                              <a:pathLst>
                                <a:path w="4352" h="2358">
                                  <a:moveTo>
                                    <a:pt x="15" y="15"/>
                                  </a:moveTo>
                                  <a:lnTo>
                                    <a:pt x="7" y="15"/>
                                  </a:lnTo>
                                  <a:lnTo>
                                    <a:pt x="15" y="7"/>
                                  </a:lnTo>
                                  <a:lnTo>
                                    <a:pt x="15" y="15"/>
                                  </a:lnTo>
                                  <a:close/>
                                </a:path>
                              </a:pathLst>
                            </a:custGeom>
                            <a:solidFill>
                              <a:srgbClr val="000000">
                                <a:alpha val="100000"/>
                              </a:srgbClr>
                            </a:solidFill>
                            <a:ln>
                              <a:noFill/>
                            </a:ln>
                          </wps:spPr>
                          <wps:bodyPr wrap="square" upright="1"/>
                        </wps:wsp>
                        <wps:wsp>
                          <wps:cNvPr id="39" name="任意多边形 42"/>
                          <wps:cNvSpPr/>
                          <wps:spPr>
                            <a:xfrm>
                              <a:off x="0" y="0"/>
                              <a:ext cx="4352" cy="2358"/>
                            </a:xfrm>
                            <a:custGeom>
                              <a:avLst/>
                              <a:gdLst/>
                              <a:ahLst/>
                              <a:cxnLst/>
                              <a:pathLst>
                                <a:path w="4352" h="2358">
                                  <a:moveTo>
                                    <a:pt x="4337" y="15"/>
                                  </a:moveTo>
                                  <a:lnTo>
                                    <a:pt x="15" y="15"/>
                                  </a:lnTo>
                                  <a:lnTo>
                                    <a:pt x="15" y="7"/>
                                  </a:lnTo>
                                  <a:lnTo>
                                    <a:pt x="4337" y="7"/>
                                  </a:lnTo>
                                  <a:lnTo>
                                    <a:pt x="4337" y="15"/>
                                  </a:lnTo>
                                  <a:close/>
                                </a:path>
                              </a:pathLst>
                            </a:custGeom>
                            <a:solidFill>
                              <a:srgbClr val="000000">
                                <a:alpha val="100000"/>
                              </a:srgbClr>
                            </a:solidFill>
                            <a:ln>
                              <a:noFill/>
                            </a:ln>
                          </wps:spPr>
                          <wps:bodyPr wrap="square" upright="1"/>
                        </wps:wsp>
                        <wps:wsp>
                          <wps:cNvPr id="40" name="任意多边形 43"/>
                          <wps:cNvSpPr/>
                          <wps:spPr>
                            <a:xfrm>
                              <a:off x="0" y="0"/>
                              <a:ext cx="4352" cy="2358"/>
                            </a:xfrm>
                            <a:custGeom>
                              <a:avLst/>
                              <a:gdLst/>
                              <a:ahLst/>
                              <a:cxnLst/>
                              <a:pathLst>
                                <a:path w="4352" h="2358">
                                  <a:moveTo>
                                    <a:pt x="4337" y="2350"/>
                                  </a:moveTo>
                                  <a:lnTo>
                                    <a:pt x="4337" y="7"/>
                                  </a:lnTo>
                                  <a:lnTo>
                                    <a:pt x="4344" y="15"/>
                                  </a:lnTo>
                                  <a:lnTo>
                                    <a:pt x="4352" y="15"/>
                                  </a:lnTo>
                                  <a:lnTo>
                                    <a:pt x="4352" y="2343"/>
                                  </a:lnTo>
                                  <a:lnTo>
                                    <a:pt x="4344" y="2343"/>
                                  </a:lnTo>
                                  <a:lnTo>
                                    <a:pt x="4337" y="2350"/>
                                  </a:lnTo>
                                  <a:close/>
                                </a:path>
                              </a:pathLst>
                            </a:custGeom>
                            <a:solidFill>
                              <a:srgbClr val="000000">
                                <a:alpha val="100000"/>
                              </a:srgbClr>
                            </a:solidFill>
                            <a:ln>
                              <a:noFill/>
                            </a:ln>
                          </wps:spPr>
                          <wps:bodyPr wrap="square" upright="1"/>
                        </wps:wsp>
                        <wps:wsp>
                          <wps:cNvPr id="41" name="任意多边形 44"/>
                          <wps:cNvSpPr/>
                          <wps:spPr>
                            <a:xfrm>
                              <a:off x="0" y="0"/>
                              <a:ext cx="4352" cy="2358"/>
                            </a:xfrm>
                            <a:custGeom>
                              <a:avLst/>
                              <a:gdLst/>
                              <a:ahLst/>
                              <a:cxnLst/>
                              <a:pathLst>
                                <a:path w="4352" h="2358">
                                  <a:moveTo>
                                    <a:pt x="4352" y="15"/>
                                  </a:moveTo>
                                  <a:lnTo>
                                    <a:pt x="4344" y="15"/>
                                  </a:lnTo>
                                  <a:lnTo>
                                    <a:pt x="4337" y="7"/>
                                  </a:lnTo>
                                  <a:lnTo>
                                    <a:pt x="4352" y="7"/>
                                  </a:lnTo>
                                  <a:lnTo>
                                    <a:pt x="4352" y="15"/>
                                  </a:lnTo>
                                  <a:close/>
                                </a:path>
                              </a:pathLst>
                            </a:custGeom>
                            <a:solidFill>
                              <a:srgbClr val="000000">
                                <a:alpha val="100000"/>
                              </a:srgbClr>
                            </a:solidFill>
                            <a:ln>
                              <a:noFill/>
                            </a:ln>
                          </wps:spPr>
                          <wps:bodyPr wrap="square" upright="1"/>
                        </wps:wsp>
                        <wps:wsp>
                          <wps:cNvPr id="42" name="任意多边形 45"/>
                          <wps:cNvSpPr/>
                          <wps:spPr>
                            <a:xfrm>
                              <a:off x="0" y="0"/>
                              <a:ext cx="4352" cy="2358"/>
                            </a:xfrm>
                            <a:custGeom>
                              <a:avLst/>
                              <a:gdLst/>
                              <a:ahLst/>
                              <a:cxnLst/>
                              <a:pathLst>
                                <a:path w="4352" h="2358">
                                  <a:moveTo>
                                    <a:pt x="15" y="2350"/>
                                  </a:moveTo>
                                  <a:lnTo>
                                    <a:pt x="7" y="2343"/>
                                  </a:lnTo>
                                  <a:lnTo>
                                    <a:pt x="15" y="2343"/>
                                  </a:lnTo>
                                  <a:lnTo>
                                    <a:pt x="15" y="2350"/>
                                  </a:lnTo>
                                  <a:close/>
                                </a:path>
                              </a:pathLst>
                            </a:custGeom>
                            <a:solidFill>
                              <a:srgbClr val="000000">
                                <a:alpha val="100000"/>
                              </a:srgbClr>
                            </a:solidFill>
                            <a:ln>
                              <a:noFill/>
                            </a:ln>
                          </wps:spPr>
                          <wps:bodyPr wrap="square" upright="1"/>
                        </wps:wsp>
                        <wps:wsp>
                          <wps:cNvPr id="43" name="任意多边形 46"/>
                          <wps:cNvSpPr/>
                          <wps:spPr>
                            <a:xfrm>
                              <a:off x="0" y="0"/>
                              <a:ext cx="4352" cy="2358"/>
                            </a:xfrm>
                            <a:custGeom>
                              <a:avLst/>
                              <a:gdLst/>
                              <a:ahLst/>
                              <a:cxnLst/>
                              <a:pathLst>
                                <a:path w="4352" h="2358">
                                  <a:moveTo>
                                    <a:pt x="4337" y="2350"/>
                                  </a:moveTo>
                                  <a:lnTo>
                                    <a:pt x="15" y="2350"/>
                                  </a:lnTo>
                                  <a:lnTo>
                                    <a:pt x="15" y="2343"/>
                                  </a:lnTo>
                                  <a:lnTo>
                                    <a:pt x="4337" y="2343"/>
                                  </a:lnTo>
                                  <a:lnTo>
                                    <a:pt x="4337" y="2350"/>
                                  </a:lnTo>
                                  <a:close/>
                                </a:path>
                              </a:pathLst>
                            </a:custGeom>
                            <a:solidFill>
                              <a:srgbClr val="000000">
                                <a:alpha val="100000"/>
                              </a:srgbClr>
                            </a:solidFill>
                            <a:ln>
                              <a:noFill/>
                            </a:ln>
                          </wps:spPr>
                          <wps:bodyPr wrap="square" upright="1"/>
                        </wps:wsp>
                        <wps:wsp>
                          <wps:cNvPr id="44" name="任意多边形 47"/>
                          <wps:cNvSpPr/>
                          <wps:spPr>
                            <a:xfrm>
                              <a:off x="0" y="0"/>
                              <a:ext cx="4352" cy="2358"/>
                            </a:xfrm>
                            <a:custGeom>
                              <a:avLst/>
                              <a:gdLst/>
                              <a:ahLst/>
                              <a:cxnLst/>
                              <a:pathLst>
                                <a:path w="4352" h="2358">
                                  <a:moveTo>
                                    <a:pt x="4352" y="2350"/>
                                  </a:moveTo>
                                  <a:lnTo>
                                    <a:pt x="4337" y="2350"/>
                                  </a:lnTo>
                                  <a:lnTo>
                                    <a:pt x="4344" y="2343"/>
                                  </a:lnTo>
                                  <a:lnTo>
                                    <a:pt x="4352" y="2343"/>
                                  </a:lnTo>
                                  <a:lnTo>
                                    <a:pt x="4352" y="2350"/>
                                  </a:lnTo>
                                  <a:close/>
                                </a:path>
                              </a:pathLst>
                            </a:custGeom>
                            <a:solidFill>
                              <a:srgbClr val="000000">
                                <a:alpha val="100000"/>
                              </a:srgbClr>
                            </a:solidFill>
                            <a:ln>
                              <a:noFill/>
                            </a:ln>
                          </wps:spPr>
                          <wps:bodyPr wrap="square" upright="1"/>
                        </wps:wsp>
                      </wpg:grpSp>
                      <wps:wsp>
                        <wps:cNvPr id="46" name="文本框 48"/>
                        <wps:cNvSpPr txBox="1"/>
                        <wps:spPr>
                          <a:xfrm>
                            <a:off x="1022" y="139"/>
                            <a:ext cx="2309" cy="521"/>
                          </a:xfrm>
                          <a:prstGeom prst="rect">
                            <a:avLst/>
                          </a:prstGeom>
                          <a:noFill/>
                          <a:ln>
                            <a:noFill/>
                          </a:ln>
                        </wps:spPr>
                        <wps:txbx>
                          <w:txbxContent>
                            <w:p>
                              <w:pPr>
                                <w:pStyle w:val="11"/>
                                <w:kinsoku w:val="0"/>
                                <w:overflowPunct w:val="0"/>
                                <w:spacing w:after="93" w:line="209" w:lineRule="exact"/>
                                <w:ind w:left="-2" w:leftChars="-1" w:firstLine="0" w:firstLineChars="0"/>
                                <w:jc w:val="center"/>
                                <w:rPr>
                                  <w:rFonts w:hint="eastAsia"/>
                                  <w:spacing w:val="2"/>
                                  <w:w w:val="99"/>
                                  <w:sz w:val="21"/>
                                  <w:szCs w:val="21"/>
                                </w:rPr>
                              </w:pPr>
                              <w:r>
                                <w:rPr>
                                  <w:spacing w:val="-1"/>
                                  <w:w w:val="99"/>
                                  <w:sz w:val="21"/>
                                  <w:szCs w:val="21"/>
                                </w:rPr>
                                <w:t>委托代理人居</w:t>
                              </w:r>
                              <w:r>
                                <w:rPr>
                                  <w:spacing w:val="2"/>
                                  <w:w w:val="99"/>
                                  <w:sz w:val="21"/>
                                  <w:szCs w:val="21"/>
                                </w:rPr>
                                <w:t>民</w:t>
                              </w:r>
                            </w:p>
                            <w:p>
                              <w:pPr>
                                <w:pStyle w:val="11"/>
                                <w:kinsoku w:val="0"/>
                                <w:overflowPunct w:val="0"/>
                                <w:spacing w:after="93" w:line="209" w:lineRule="exact"/>
                                <w:ind w:left="-2" w:leftChars="-1" w:firstLine="0" w:firstLineChars="0"/>
                                <w:jc w:val="center"/>
                              </w:pPr>
                              <w:r>
                                <w:rPr>
                                  <w:spacing w:val="-1"/>
                                  <w:w w:val="99"/>
                                  <w:sz w:val="21"/>
                                  <w:szCs w:val="21"/>
                                </w:rPr>
                                <w:t>身</w:t>
                              </w:r>
                              <w:r>
                                <w:rPr>
                                  <w:spacing w:val="2"/>
                                  <w:w w:val="99"/>
                                  <w:sz w:val="21"/>
                                  <w:szCs w:val="21"/>
                                </w:rPr>
                                <w:t>份</w:t>
                              </w:r>
                              <w:r>
                                <w:rPr>
                                  <w:spacing w:val="-1"/>
                                  <w:w w:val="99"/>
                                  <w:sz w:val="21"/>
                                  <w:szCs w:val="21"/>
                                </w:rPr>
                                <w:t>证</w:t>
                              </w:r>
                              <w:r>
                                <w:rPr>
                                  <w:spacing w:val="2"/>
                                  <w:w w:val="99"/>
                                  <w:sz w:val="21"/>
                                  <w:szCs w:val="21"/>
                                </w:rPr>
                                <w:t>复</w:t>
                              </w:r>
                              <w:r>
                                <w:rPr>
                                  <w:spacing w:val="-1"/>
                                  <w:w w:val="99"/>
                                  <w:sz w:val="21"/>
                                  <w:szCs w:val="21"/>
                                </w:rPr>
                                <w:t>印</w:t>
                              </w:r>
                              <w:r>
                                <w:rPr>
                                  <w:spacing w:val="2"/>
                                  <w:w w:val="99"/>
                                  <w:sz w:val="21"/>
                                  <w:szCs w:val="21"/>
                                </w:rPr>
                                <w:t>件</w:t>
                              </w:r>
                              <w:r>
                                <w:rPr>
                                  <w:spacing w:val="-1"/>
                                  <w:w w:val="99"/>
                                  <w:sz w:val="21"/>
                                  <w:szCs w:val="21"/>
                                </w:rPr>
                                <w:t>粘</w:t>
                              </w:r>
                              <w:r>
                                <w:rPr>
                                  <w:spacing w:val="2"/>
                                  <w:w w:val="99"/>
                                  <w:sz w:val="21"/>
                                  <w:szCs w:val="21"/>
                                </w:rPr>
                                <w:t>贴处</w:t>
                              </w:r>
                            </w:p>
                          </w:txbxContent>
                        </wps:txbx>
                        <wps:bodyPr wrap="square" lIns="0" tIns="0" rIns="0" bIns="0" upright="1"/>
                      </wps:wsp>
                      <wps:wsp>
                        <wps:cNvPr id="47" name="文本框 49"/>
                        <wps:cNvSpPr txBox="1"/>
                        <wps:spPr>
                          <a:xfrm>
                            <a:off x="1756" y="1075"/>
                            <a:ext cx="838" cy="209"/>
                          </a:xfrm>
                          <a:prstGeom prst="rect">
                            <a:avLst/>
                          </a:prstGeom>
                          <a:noFill/>
                          <a:ln>
                            <a:noFill/>
                          </a:ln>
                        </wps:spPr>
                        <wps:txbx>
                          <w:txbxContent>
                            <w:p>
                              <w:pPr>
                                <w:pStyle w:val="11"/>
                                <w:kinsoku w:val="0"/>
                                <w:overflowPunct w:val="0"/>
                                <w:spacing w:after="93" w:line="209" w:lineRule="exact"/>
                                <w:ind w:firstLine="0" w:firstLineChars="0"/>
                                <w:rPr>
                                  <w:szCs w:val="24"/>
                                </w:rPr>
                              </w:pPr>
                              <w:r>
                                <w:rPr>
                                  <w:spacing w:val="-1"/>
                                  <w:w w:val="99"/>
                                  <w:szCs w:val="24"/>
                                </w:rPr>
                                <w:t>（</w:t>
                              </w:r>
                              <w:r>
                                <w:rPr>
                                  <w:spacing w:val="2"/>
                                  <w:w w:val="99"/>
                                  <w:szCs w:val="24"/>
                                </w:rPr>
                                <w:t>反</w:t>
                              </w:r>
                              <w:r>
                                <w:rPr>
                                  <w:spacing w:val="-1"/>
                                  <w:w w:val="99"/>
                                  <w:szCs w:val="24"/>
                                </w:rPr>
                                <w:t>面</w:t>
                              </w:r>
                              <w:r>
                                <w:rPr>
                                  <w:w w:val="99"/>
                                  <w:szCs w:val="24"/>
                                </w:rPr>
                                <w:t>）</w:t>
                              </w:r>
                            </w:p>
                          </w:txbxContent>
                        </wps:txbx>
                        <wps:bodyPr wrap="square" lIns="0" tIns="0" rIns="0" bIns="0" upright="1"/>
                      </wps:wsp>
                    </wpg:wgp>
                  </a:graphicData>
                </a:graphic>
              </wp:anchor>
            </w:drawing>
          </mc:Choice>
          <mc:Fallback>
            <w:pict>
              <v:group id="组合 38" o:spid="_x0000_s1026" o:spt="203" style="position:absolute;left:0pt;margin-left:224.75pt;margin-top:24.25pt;height:129.35pt;width:217.6pt;z-index:251661312;mso-width-relative:page;mso-height-relative:page;" coordsize="4352,2358" o:allowincell="f" o:gfxdata="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">
                <o:lock v:ext="edit" rotation="f" aspectratio="f"/>
                <v:group id="组合 39" o:spid="_x0000_s1026" o:spt="203" style="position:absolute;left:0;top:0;height:2358;width:4352;" coordsize="4352,2358"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任意多边形 40" o:spid="_x0000_s1026" o:spt="100" style="position:absolute;left:0;top:0;height:2358;width:4352;" fillcolor="#000000" filled="t" stroked="f" coordsize="4352,2358" o:gfxdata="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wX6sm/&#10;AAAA2wAAAA8AAAAAAAAAAQAgAAAAIgAAAGRycy9kb3ducmV2LnhtbFBLAQIUABQAAAAIAIdO4kAz&#10;LwWeOwAAADkAAAAQAAAAAAAAAAEAIAAAAA4BAABkcnMvc2hhcGV4bWwueG1sUEsFBgAAAAAGAAYA&#10;WwEAALgDAAAAAA==&#10;" path="m4352,2358l0,2358,0,0,4352,0,4352,7,15,7,7,15,15,15,15,2343,7,2343,15,2350,4352,2350,4352,2358xe">
                    <v:fill on="t" focussize="0,0"/>
                    <v:stroke on="f"/>
                    <v:imagedata o:title=""/>
                    <o:lock v:ext="edit" aspectratio="f"/>
                  </v:shape>
                  <v:shape id="任意多边形 41" o:spid="_x0000_s1026" o:spt="100" style="position:absolute;left:0;top:0;height:2358;width:4352;" fillcolor="#000000" filled="t" stroked="f" coordsize="4352,2358" o:gfxdata="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Ifru8AAAA&#10;2wAAAA8AAAAAAAAAAQAgAAAAIgAAAGRycy9kb3ducmV2LnhtbFBLAQIUABQAAAAIAIdO4kAzLwWe&#10;OwAAADkAAAAQAAAAAAAAAAEAIAAAAAsBAABkcnMvc2hhcGV4bWwueG1sUEsFBgAAAAAGAAYAWwEA&#10;ALUDAAAAAA==&#10;" path="m15,15l7,15,15,7,15,15xe">
                    <v:fill on="t" focussize="0,0"/>
                    <v:stroke on="f"/>
                    <v:imagedata o:title=""/>
                    <o:lock v:ext="edit" aspectratio="f"/>
                  </v:shape>
                  <v:shape id="任意多边形 42" o:spid="_x0000_s1026" o:spt="100" style="position:absolute;left:0;top:0;height:2358;width:4352;" fillcolor="#000000" filled="t" stroked="f" coordsize="4352,2358" o:gfxdata="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xNsg&#10;wAAAANsAAAAPAAAAAAAAAAEAIAAAACIAAABkcnMvZG93bnJldi54bWxQSwECFAAUAAAACACHTuJA&#10;My8FnjsAAAA5AAAAEAAAAAAAAAABACAAAAAPAQAAZHJzL3NoYXBleG1sLnhtbFBLBQYAAAAABgAG&#10;AFsBAAC5AwAAAAA=&#10;" path="m4337,15l15,15,15,7,4337,7,4337,15xe">
                    <v:fill on="t" focussize="0,0"/>
                    <v:stroke on="f"/>
                    <v:imagedata o:title=""/>
                    <o:lock v:ext="edit" aspectratio="f"/>
                  </v:shape>
                  <v:shape id="任意多边形 43" o:spid="_x0000_s1026" o:spt="100" style="position:absolute;left:0;top:0;height:2358;width:4352;" fillcolor="#000000" filled="t" stroked="f" coordsize="4352,2358" o:gfxdata="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4AcC8AAAA&#10;2wAAAA8AAAAAAAAAAQAgAAAAIgAAAGRycy9kb3ducmV2LnhtbFBLAQIUABQAAAAIAIdO4kAzLwWe&#10;OwAAADkAAAAQAAAAAAAAAAEAIAAAAAsBAABkcnMvc2hhcGV4bWwueG1sUEsFBgAAAAAGAAYAWwEA&#10;ALUDAAAAAA==&#10;" path="m4337,2350l4337,7,4344,15,4352,15,4352,2343,4344,2343,4337,2350xe">
                    <v:fill on="t" focussize="0,0"/>
                    <v:stroke on="f"/>
                    <v:imagedata o:title=""/>
                    <o:lock v:ext="edit" aspectratio="f"/>
                  </v:shape>
                  <v:shape id="任意多边形 44" o:spid="_x0000_s1026" o:spt="100" style="position:absolute;left:0;top:0;height:2358;width:4352;" fillcolor="#000000" filled="t" stroked="f" coordsize="4352,2358" o:gfxdata="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S0pFu/&#10;AAAA2wAAAA8AAAAAAAAAAQAgAAAAIgAAAGRycy9kb3ducmV2LnhtbFBLAQIUABQAAAAIAIdO4kAz&#10;LwWeOwAAADkAAAAQAAAAAAAAAAEAIAAAAA4BAABkcnMvc2hhcGV4bWwueG1sUEsFBgAAAAAGAAYA&#10;WwEAALgDAAAAAA==&#10;" path="m4352,15l4344,15,4337,7,4352,7,4352,15xe">
                    <v:fill on="t" focussize="0,0"/>
                    <v:stroke on="f"/>
                    <v:imagedata o:title=""/>
                    <o:lock v:ext="edit" aspectratio="f"/>
                  </v:shape>
                  <v:shape id="任意多边形 45" o:spid="_x0000_s1026" o:spt="100" style="position:absolute;left:0;top:0;height:2358;width:4352;" fillcolor="#000000" filled="t" stroked="f" coordsize="4352,2358" o:gfxdata="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Zjos&#10;wAAAANsAAAAPAAAAAAAAAAEAIAAAACIAAABkcnMvZG93bnJldi54bWxQSwECFAAUAAAACACHTuJA&#10;My8FnjsAAAA5AAAAEAAAAAAAAAABACAAAAAPAQAAZHJzL3NoYXBleG1sLnhtbFBLBQYAAAAABgAG&#10;AFsBAAC5AwAAAAA=&#10;" path="m15,2350l7,2343,15,2343,15,2350xe">
                    <v:fill on="t" focussize="0,0"/>
                    <v:stroke on="f"/>
                    <v:imagedata o:title=""/>
                    <o:lock v:ext="edit" aspectratio="f"/>
                  </v:shape>
                  <v:shape id="任意多边形 46" o:spid="_x0000_s1026" o:spt="100" style="position:absolute;left:0;top:0;height:2358;width:4352;" fillcolor="#000000" filled="t" stroked="f" coordsize="4352,2358" o:gfxdata="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Kp+3&#10;wAAAANsAAAAPAAAAAAAAAAEAIAAAACIAAABkcnMvZG93bnJldi54bWxQSwECFAAUAAAACACHTuJA&#10;My8FnjsAAAA5AAAAEAAAAAAAAAABACAAAAAPAQAAZHJzL3NoYXBleG1sLnhtbFBLBQYAAAAABgAG&#10;AFsBAAC5AwAAAAA=&#10;" path="m4337,2350l15,2350,15,2343,4337,2343,4337,2350xe">
                    <v:fill on="t" focussize="0,0"/>
                    <v:stroke on="f"/>
                    <v:imagedata o:title=""/>
                    <o:lock v:ext="edit" aspectratio="f"/>
                  </v:shape>
                  <v:shape id="任意多边形 47" o:spid="_x0000_s1026" o:spt="100" style="position:absolute;left:0;top:0;height:2358;width:4352;" fillcolor="#000000" filled="t" stroked="f" coordsize="4352,2358" o:gfxdata="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wwfD&#10;wAAAANsAAAAPAAAAAAAAAAEAIAAAACIAAABkcnMvZG93bnJldi54bWxQSwECFAAUAAAACACHTuJA&#10;My8FnjsAAAA5AAAAEAAAAAAAAAABACAAAAAPAQAAZHJzL3NoYXBleG1sLnhtbFBLBQYAAAAABgAG&#10;AFsBAAC5AwAAAAA=&#10;" path="m4352,2350l4337,2350,4344,2343,4352,2343,4352,2350xe">
                    <v:fill on="t" focussize="0,0"/>
                    <v:stroke on="f"/>
                    <v:imagedata o:title=""/>
                    <o:lock v:ext="edit" aspectratio="f"/>
                  </v:shape>
                </v:group>
                <v:shape id="文本框 48" o:spid="_x0000_s1026" o:spt="202" type="#_x0000_t202" style="position:absolute;left:1022;top:139;height:521;width:2309;"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11"/>
                          <w:kinsoku w:val="0"/>
                          <w:overflowPunct w:val="0"/>
                          <w:spacing w:after="93" w:line="209" w:lineRule="exact"/>
                          <w:ind w:left="-2" w:leftChars="-1" w:firstLine="0" w:firstLineChars="0"/>
                          <w:jc w:val="center"/>
                          <w:rPr>
                            <w:rFonts w:hint="eastAsia"/>
                            <w:spacing w:val="2"/>
                            <w:w w:val="99"/>
                            <w:sz w:val="21"/>
                            <w:szCs w:val="21"/>
                          </w:rPr>
                        </w:pPr>
                        <w:r>
                          <w:rPr>
                            <w:spacing w:val="-1"/>
                            <w:w w:val="99"/>
                            <w:sz w:val="21"/>
                            <w:szCs w:val="21"/>
                          </w:rPr>
                          <w:t>委托代理人居</w:t>
                        </w:r>
                        <w:r>
                          <w:rPr>
                            <w:spacing w:val="2"/>
                            <w:w w:val="99"/>
                            <w:sz w:val="21"/>
                            <w:szCs w:val="21"/>
                          </w:rPr>
                          <w:t>民</w:t>
                        </w:r>
                      </w:p>
                      <w:p>
                        <w:pPr>
                          <w:pStyle w:val="11"/>
                          <w:kinsoku w:val="0"/>
                          <w:overflowPunct w:val="0"/>
                          <w:spacing w:after="93" w:line="209" w:lineRule="exact"/>
                          <w:ind w:left="-2" w:leftChars="-1" w:firstLine="0" w:firstLineChars="0"/>
                          <w:jc w:val="center"/>
                        </w:pPr>
                        <w:r>
                          <w:rPr>
                            <w:spacing w:val="-1"/>
                            <w:w w:val="99"/>
                            <w:sz w:val="21"/>
                            <w:szCs w:val="21"/>
                          </w:rPr>
                          <w:t>身</w:t>
                        </w:r>
                        <w:r>
                          <w:rPr>
                            <w:spacing w:val="2"/>
                            <w:w w:val="99"/>
                            <w:sz w:val="21"/>
                            <w:szCs w:val="21"/>
                          </w:rPr>
                          <w:t>份</w:t>
                        </w:r>
                        <w:r>
                          <w:rPr>
                            <w:spacing w:val="-1"/>
                            <w:w w:val="99"/>
                            <w:sz w:val="21"/>
                            <w:szCs w:val="21"/>
                          </w:rPr>
                          <w:t>证</w:t>
                        </w:r>
                        <w:r>
                          <w:rPr>
                            <w:spacing w:val="2"/>
                            <w:w w:val="99"/>
                            <w:sz w:val="21"/>
                            <w:szCs w:val="21"/>
                          </w:rPr>
                          <w:t>复</w:t>
                        </w:r>
                        <w:r>
                          <w:rPr>
                            <w:spacing w:val="-1"/>
                            <w:w w:val="99"/>
                            <w:sz w:val="21"/>
                            <w:szCs w:val="21"/>
                          </w:rPr>
                          <w:t>印</w:t>
                        </w:r>
                        <w:r>
                          <w:rPr>
                            <w:spacing w:val="2"/>
                            <w:w w:val="99"/>
                            <w:sz w:val="21"/>
                            <w:szCs w:val="21"/>
                          </w:rPr>
                          <w:t>件</w:t>
                        </w:r>
                        <w:r>
                          <w:rPr>
                            <w:spacing w:val="-1"/>
                            <w:w w:val="99"/>
                            <w:sz w:val="21"/>
                            <w:szCs w:val="21"/>
                          </w:rPr>
                          <w:t>粘</w:t>
                        </w:r>
                        <w:r>
                          <w:rPr>
                            <w:spacing w:val="2"/>
                            <w:w w:val="99"/>
                            <w:sz w:val="21"/>
                            <w:szCs w:val="21"/>
                          </w:rPr>
                          <w:t>贴处</w:t>
                        </w:r>
                      </w:p>
                    </w:txbxContent>
                  </v:textbox>
                </v:shape>
                <v:shape id="文本框 49" o:spid="_x0000_s1026" o:spt="202" type="#_x0000_t202" style="position:absolute;left:1756;top:1075;height:209;width:838;"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kinsoku w:val="0"/>
                          <w:overflowPunct w:val="0"/>
                          <w:spacing w:after="93" w:line="209" w:lineRule="exact"/>
                          <w:ind w:firstLine="0" w:firstLineChars="0"/>
                          <w:rPr>
                            <w:szCs w:val="24"/>
                          </w:rPr>
                        </w:pPr>
                        <w:r>
                          <w:rPr>
                            <w:spacing w:val="-1"/>
                            <w:w w:val="99"/>
                            <w:szCs w:val="24"/>
                          </w:rPr>
                          <w:t>（</w:t>
                        </w:r>
                        <w:r>
                          <w:rPr>
                            <w:spacing w:val="2"/>
                            <w:w w:val="99"/>
                            <w:szCs w:val="24"/>
                          </w:rPr>
                          <w:t>反</w:t>
                        </w:r>
                        <w:r>
                          <w:rPr>
                            <w:spacing w:val="-1"/>
                            <w:w w:val="99"/>
                            <w:szCs w:val="24"/>
                          </w:rPr>
                          <w:t>面</w:t>
                        </w:r>
                        <w:r>
                          <w:rPr>
                            <w:w w:val="99"/>
                            <w:szCs w:val="24"/>
                          </w:rPr>
                          <w:t>）</w:t>
                        </w:r>
                      </w:p>
                    </w:txbxContent>
                  </v:textbox>
                </v:shape>
              </v:group>
            </w:pict>
          </mc:Fallback>
        </mc:AlternateContent>
      </w:r>
      <w:r>
        <w:rPr>
          <w:rFonts w:hint="eastAsia"/>
          <w:lang/>
        </w:rPr>
        <mc:AlternateContent>
          <mc:Choice Requires="wpg">
            <w:drawing>
              <wp:anchor distT="0" distB="0" distL="114300" distR="114300" simplePos="0" relativeHeight="251660288" behindDoc="0" locked="0" layoutInCell="0" allowOverlap="1">
                <wp:simplePos x="0" y="0"/>
                <wp:positionH relativeFrom="column">
                  <wp:posOffset>-31750</wp:posOffset>
                </wp:positionH>
                <wp:positionV relativeFrom="paragraph">
                  <wp:posOffset>307975</wp:posOffset>
                </wp:positionV>
                <wp:extent cx="2763520" cy="1642745"/>
                <wp:effectExtent l="0" t="0" r="17780" b="14605"/>
                <wp:wrapTopAndBottom/>
                <wp:docPr id="36" name="组合 26"/>
                <wp:cNvGraphicFramePr/>
                <a:graphic xmlns:a="http://schemas.openxmlformats.org/drawingml/2006/main">
                  <a:graphicData uri="http://schemas.microsoft.com/office/word/2010/wordprocessingGroup">
                    <wpg:wgp>
                      <wpg:cNvGrpSpPr/>
                      <wpg:grpSpPr>
                        <a:xfrm>
                          <a:off x="0" y="0"/>
                          <a:ext cx="2763520" cy="1642745"/>
                          <a:chOff x="0" y="0"/>
                          <a:chExt cx="4352" cy="2358"/>
                        </a:xfrm>
                      </wpg:grpSpPr>
                      <wpg:grpSp>
                        <wpg:cNvPr id="33" name="组合 27"/>
                        <wpg:cNvGrpSpPr/>
                        <wpg:grpSpPr>
                          <a:xfrm>
                            <a:off x="0" y="0"/>
                            <a:ext cx="4352" cy="2358"/>
                            <a:chOff x="0" y="0"/>
                            <a:chExt cx="4352" cy="2358"/>
                          </a:xfrm>
                        </wpg:grpSpPr>
                        <wps:wsp>
                          <wps:cNvPr id="25" name="任意多边形 28"/>
                          <wps:cNvSpPr/>
                          <wps:spPr>
                            <a:xfrm>
                              <a:off x="0" y="0"/>
                              <a:ext cx="4352" cy="2358"/>
                            </a:xfrm>
                            <a:custGeom>
                              <a:avLst/>
                              <a:gdLst/>
                              <a:ahLst/>
                              <a:cxnLst/>
                              <a:pathLst>
                                <a:path w="4352" h="2358">
                                  <a:moveTo>
                                    <a:pt x="4352" y="2358"/>
                                  </a:moveTo>
                                  <a:lnTo>
                                    <a:pt x="0" y="2358"/>
                                  </a:lnTo>
                                  <a:lnTo>
                                    <a:pt x="0" y="0"/>
                                  </a:lnTo>
                                  <a:lnTo>
                                    <a:pt x="4352" y="0"/>
                                  </a:lnTo>
                                  <a:lnTo>
                                    <a:pt x="4352" y="7"/>
                                  </a:lnTo>
                                  <a:lnTo>
                                    <a:pt x="15" y="7"/>
                                  </a:lnTo>
                                  <a:lnTo>
                                    <a:pt x="7" y="15"/>
                                  </a:lnTo>
                                  <a:lnTo>
                                    <a:pt x="15" y="15"/>
                                  </a:lnTo>
                                  <a:lnTo>
                                    <a:pt x="15" y="2343"/>
                                  </a:lnTo>
                                  <a:lnTo>
                                    <a:pt x="7" y="2343"/>
                                  </a:lnTo>
                                  <a:lnTo>
                                    <a:pt x="15" y="2350"/>
                                  </a:lnTo>
                                  <a:lnTo>
                                    <a:pt x="4352" y="2350"/>
                                  </a:lnTo>
                                  <a:lnTo>
                                    <a:pt x="4352" y="2358"/>
                                  </a:lnTo>
                                  <a:close/>
                                </a:path>
                              </a:pathLst>
                            </a:custGeom>
                            <a:solidFill>
                              <a:srgbClr val="000000">
                                <a:alpha val="100000"/>
                              </a:srgbClr>
                            </a:solidFill>
                            <a:ln>
                              <a:noFill/>
                            </a:ln>
                          </wps:spPr>
                          <wps:bodyPr wrap="square" upright="1"/>
                        </wps:wsp>
                        <wps:wsp>
                          <wps:cNvPr id="26" name="任意多边形 29"/>
                          <wps:cNvSpPr/>
                          <wps:spPr>
                            <a:xfrm>
                              <a:off x="0" y="0"/>
                              <a:ext cx="4352" cy="2358"/>
                            </a:xfrm>
                            <a:custGeom>
                              <a:avLst/>
                              <a:gdLst/>
                              <a:ahLst/>
                              <a:cxnLst/>
                              <a:pathLst>
                                <a:path w="4352" h="2358">
                                  <a:moveTo>
                                    <a:pt x="15" y="15"/>
                                  </a:moveTo>
                                  <a:lnTo>
                                    <a:pt x="7" y="15"/>
                                  </a:lnTo>
                                  <a:lnTo>
                                    <a:pt x="15" y="7"/>
                                  </a:lnTo>
                                  <a:lnTo>
                                    <a:pt x="15" y="15"/>
                                  </a:lnTo>
                                  <a:close/>
                                </a:path>
                              </a:pathLst>
                            </a:custGeom>
                            <a:solidFill>
                              <a:srgbClr val="000000">
                                <a:alpha val="100000"/>
                              </a:srgbClr>
                            </a:solidFill>
                            <a:ln>
                              <a:noFill/>
                            </a:ln>
                          </wps:spPr>
                          <wps:bodyPr wrap="square" upright="1"/>
                        </wps:wsp>
                        <wps:wsp>
                          <wps:cNvPr id="27" name="任意多边形 30"/>
                          <wps:cNvSpPr/>
                          <wps:spPr>
                            <a:xfrm>
                              <a:off x="0" y="0"/>
                              <a:ext cx="4352" cy="2358"/>
                            </a:xfrm>
                            <a:custGeom>
                              <a:avLst/>
                              <a:gdLst/>
                              <a:ahLst/>
                              <a:cxnLst/>
                              <a:pathLst>
                                <a:path w="4352" h="2358">
                                  <a:moveTo>
                                    <a:pt x="4337" y="15"/>
                                  </a:moveTo>
                                  <a:lnTo>
                                    <a:pt x="15" y="15"/>
                                  </a:lnTo>
                                  <a:lnTo>
                                    <a:pt x="15" y="7"/>
                                  </a:lnTo>
                                  <a:lnTo>
                                    <a:pt x="4337" y="7"/>
                                  </a:lnTo>
                                  <a:lnTo>
                                    <a:pt x="4337" y="15"/>
                                  </a:lnTo>
                                  <a:close/>
                                </a:path>
                              </a:pathLst>
                            </a:custGeom>
                            <a:solidFill>
                              <a:srgbClr val="000000">
                                <a:alpha val="100000"/>
                              </a:srgbClr>
                            </a:solidFill>
                            <a:ln>
                              <a:noFill/>
                            </a:ln>
                          </wps:spPr>
                          <wps:bodyPr wrap="square" upright="1"/>
                        </wps:wsp>
                        <wps:wsp>
                          <wps:cNvPr id="28" name="任意多边形 31"/>
                          <wps:cNvSpPr/>
                          <wps:spPr>
                            <a:xfrm>
                              <a:off x="0" y="0"/>
                              <a:ext cx="4352" cy="2358"/>
                            </a:xfrm>
                            <a:custGeom>
                              <a:avLst/>
                              <a:gdLst/>
                              <a:ahLst/>
                              <a:cxnLst/>
                              <a:pathLst>
                                <a:path w="4352" h="2358">
                                  <a:moveTo>
                                    <a:pt x="4337" y="2350"/>
                                  </a:moveTo>
                                  <a:lnTo>
                                    <a:pt x="4337" y="7"/>
                                  </a:lnTo>
                                  <a:lnTo>
                                    <a:pt x="4344" y="15"/>
                                  </a:lnTo>
                                  <a:lnTo>
                                    <a:pt x="4352" y="15"/>
                                  </a:lnTo>
                                  <a:lnTo>
                                    <a:pt x="4352" y="2343"/>
                                  </a:lnTo>
                                  <a:lnTo>
                                    <a:pt x="4344" y="2343"/>
                                  </a:lnTo>
                                  <a:lnTo>
                                    <a:pt x="4337" y="2350"/>
                                  </a:lnTo>
                                  <a:close/>
                                </a:path>
                              </a:pathLst>
                            </a:custGeom>
                            <a:solidFill>
                              <a:srgbClr val="000000">
                                <a:alpha val="100000"/>
                              </a:srgbClr>
                            </a:solidFill>
                            <a:ln>
                              <a:noFill/>
                            </a:ln>
                          </wps:spPr>
                          <wps:bodyPr wrap="square" upright="1"/>
                        </wps:wsp>
                        <wps:wsp>
                          <wps:cNvPr id="29" name="任意多边形 32"/>
                          <wps:cNvSpPr/>
                          <wps:spPr>
                            <a:xfrm>
                              <a:off x="0" y="0"/>
                              <a:ext cx="4352" cy="2358"/>
                            </a:xfrm>
                            <a:custGeom>
                              <a:avLst/>
                              <a:gdLst/>
                              <a:ahLst/>
                              <a:cxnLst/>
                              <a:pathLst>
                                <a:path w="4352" h="2358">
                                  <a:moveTo>
                                    <a:pt x="4352" y="15"/>
                                  </a:moveTo>
                                  <a:lnTo>
                                    <a:pt x="4344" y="15"/>
                                  </a:lnTo>
                                  <a:lnTo>
                                    <a:pt x="4337" y="7"/>
                                  </a:lnTo>
                                  <a:lnTo>
                                    <a:pt x="4352" y="7"/>
                                  </a:lnTo>
                                  <a:lnTo>
                                    <a:pt x="4352" y="15"/>
                                  </a:lnTo>
                                  <a:close/>
                                </a:path>
                              </a:pathLst>
                            </a:custGeom>
                            <a:solidFill>
                              <a:srgbClr val="000000">
                                <a:alpha val="100000"/>
                              </a:srgbClr>
                            </a:solidFill>
                            <a:ln>
                              <a:noFill/>
                            </a:ln>
                          </wps:spPr>
                          <wps:bodyPr wrap="square" upright="1"/>
                        </wps:wsp>
                        <wps:wsp>
                          <wps:cNvPr id="30" name="任意多边形 33"/>
                          <wps:cNvSpPr/>
                          <wps:spPr>
                            <a:xfrm>
                              <a:off x="0" y="0"/>
                              <a:ext cx="4352" cy="2358"/>
                            </a:xfrm>
                            <a:custGeom>
                              <a:avLst/>
                              <a:gdLst/>
                              <a:ahLst/>
                              <a:cxnLst/>
                              <a:pathLst>
                                <a:path w="4352" h="2358">
                                  <a:moveTo>
                                    <a:pt x="15" y="2350"/>
                                  </a:moveTo>
                                  <a:lnTo>
                                    <a:pt x="7" y="2343"/>
                                  </a:lnTo>
                                  <a:lnTo>
                                    <a:pt x="15" y="2343"/>
                                  </a:lnTo>
                                  <a:lnTo>
                                    <a:pt x="15" y="2350"/>
                                  </a:lnTo>
                                  <a:close/>
                                </a:path>
                              </a:pathLst>
                            </a:custGeom>
                            <a:solidFill>
                              <a:srgbClr val="000000">
                                <a:alpha val="100000"/>
                              </a:srgbClr>
                            </a:solidFill>
                            <a:ln>
                              <a:noFill/>
                            </a:ln>
                          </wps:spPr>
                          <wps:bodyPr wrap="square" upright="1"/>
                        </wps:wsp>
                        <wps:wsp>
                          <wps:cNvPr id="31" name="任意多边形 34"/>
                          <wps:cNvSpPr/>
                          <wps:spPr>
                            <a:xfrm>
                              <a:off x="0" y="0"/>
                              <a:ext cx="4352" cy="2358"/>
                            </a:xfrm>
                            <a:custGeom>
                              <a:avLst/>
                              <a:gdLst/>
                              <a:ahLst/>
                              <a:cxnLst/>
                              <a:pathLst>
                                <a:path w="4352" h="2358">
                                  <a:moveTo>
                                    <a:pt x="4337" y="2350"/>
                                  </a:moveTo>
                                  <a:lnTo>
                                    <a:pt x="15" y="2350"/>
                                  </a:lnTo>
                                  <a:lnTo>
                                    <a:pt x="15" y="2343"/>
                                  </a:lnTo>
                                  <a:lnTo>
                                    <a:pt x="4337" y="2343"/>
                                  </a:lnTo>
                                  <a:lnTo>
                                    <a:pt x="4337" y="2350"/>
                                  </a:lnTo>
                                  <a:close/>
                                </a:path>
                              </a:pathLst>
                            </a:custGeom>
                            <a:solidFill>
                              <a:srgbClr val="000000">
                                <a:alpha val="100000"/>
                              </a:srgbClr>
                            </a:solidFill>
                            <a:ln>
                              <a:noFill/>
                            </a:ln>
                          </wps:spPr>
                          <wps:bodyPr wrap="square" upright="1"/>
                        </wps:wsp>
                        <wps:wsp>
                          <wps:cNvPr id="32" name="任意多边形 35"/>
                          <wps:cNvSpPr/>
                          <wps:spPr>
                            <a:xfrm>
                              <a:off x="0" y="0"/>
                              <a:ext cx="4352" cy="2358"/>
                            </a:xfrm>
                            <a:custGeom>
                              <a:avLst/>
                              <a:gdLst/>
                              <a:ahLst/>
                              <a:cxnLst/>
                              <a:pathLst>
                                <a:path w="4352" h="2358">
                                  <a:moveTo>
                                    <a:pt x="4352" y="2350"/>
                                  </a:moveTo>
                                  <a:lnTo>
                                    <a:pt x="4337" y="2350"/>
                                  </a:lnTo>
                                  <a:lnTo>
                                    <a:pt x="4344" y="2343"/>
                                  </a:lnTo>
                                  <a:lnTo>
                                    <a:pt x="4352" y="2343"/>
                                  </a:lnTo>
                                  <a:lnTo>
                                    <a:pt x="4352" y="2350"/>
                                  </a:lnTo>
                                  <a:close/>
                                </a:path>
                              </a:pathLst>
                            </a:custGeom>
                            <a:solidFill>
                              <a:srgbClr val="000000">
                                <a:alpha val="100000"/>
                              </a:srgbClr>
                            </a:solidFill>
                            <a:ln>
                              <a:noFill/>
                            </a:ln>
                          </wps:spPr>
                          <wps:bodyPr wrap="square" upright="1"/>
                        </wps:wsp>
                      </wpg:grpSp>
                      <wps:wsp>
                        <wps:cNvPr id="34" name="文本框 36"/>
                        <wps:cNvSpPr txBox="1"/>
                        <wps:spPr>
                          <a:xfrm>
                            <a:off x="1022" y="139"/>
                            <a:ext cx="2309" cy="521"/>
                          </a:xfrm>
                          <a:prstGeom prst="rect">
                            <a:avLst/>
                          </a:prstGeom>
                          <a:noFill/>
                          <a:ln>
                            <a:noFill/>
                          </a:ln>
                        </wps:spPr>
                        <wps:txbx>
                          <w:txbxContent>
                            <w:p>
                              <w:pPr>
                                <w:pStyle w:val="11"/>
                                <w:kinsoku w:val="0"/>
                                <w:overflowPunct w:val="0"/>
                                <w:spacing w:after="93" w:line="209" w:lineRule="exact"/>
                                <w:ind w:left="-2" w:leftChars="-1" w:firstLine="0" w:firstLineChars="0"/>
                                <w:jc w:val="center"/>
                                <w:rPr>
                                  <w:rFonts w:hint="eastAsia"/>
                                  <w:spacing w:val="2"/>
                                  <w:w w:val="99"/>
                                  <w:sz w:val="21"/>
                                  <w:szCs w:val="21"/>
                                </w:rPr>
                              </w:pPr>
                              <w:r>
                                <w:rPr>
                                  <w:spacing w:val="-1"/>
                                  <w:w w:val="99"/>
                                  <w:sz w:val="21"/>
                                  <w:szCs w:val="21"/>
                                </w:rPr>
                                <w:t>委托代理人居</w:t>
                              </w:r>
                              <w:r>
                                <w:rPr>
                                  <w:spacing w:val="2"/>
                                  <w:w w:val="99"/>
                                  <w:sz w:val="21"/>
                                  <w:szCs w:val="21"/>
                                </w:rPr>
                                <w:t>民</w:t>
                              </w:r>
                            </w:p>
                            <w:p>
                              <w:pPr>
                                <w:pStyle w:val="11"/>
                                <w:kinsoku w:val="0"/>
                                <w:overflowPunct w:val="0"/>
                                <w:spacing w:after="93" w:line="209" w:lineRule="exact"/>
                                <w:ind w:left="-2" w:leftChars="-1" w:firstLine="0" w:firstLineChars="0"/>
                                <w:jc w:val="center"/>
                              </w:pPr>
                              <w:r>
                                <w:rPr>
                                  <w:spacing w:val="-1"/>
                                  <w:w w:val="99"/>
                                  <w:sz w:val="21"/>
                                  <w:szCs w:val="21"/>
                                </w:rPr>
                                <w:t>身</w:t>
                              </w:r>
                              <w:r>
                                <w:rPr>
                                  <w:spacing w:val="2"/>
                                  <w:w w:val="99"/>
                                  <w:sz w:val="21"/>
                                  <w:szCs w:val="21"/>
                                </w:rPr>
                                <w:t>份</w:t>
                              </w:r>
                              <w:r>
                                <w:rPr>
                                  <w:spacing w:val="-1"/>
                                  <w:w w:val="99"/>
                                  <w:sz w:val="21"/>
                                  <w:szCs w:val="21"/>
                                </w:rPr>
                                <w:t>证</w:t>
                              </w:r>
                              <w:r>
                                <w:rPr>
                                  <w:spacing w:val="2"/>
                                  <w:w w:val="99"/>
                                  <w:sz w:val="21"/>
                                  <w:szCs w:val="21"/>
                                </w:rPr>
                                <w:t>复</w:t>
                              </w:r>
                              <w:r>
                                <w:rPr>
                                  <w:spacing w:val="-1"/>
                                  <w:w w:val="99"/>
                                  <w:sz w:val="21"/>
                                  <w:szCs w:val="21"/>
                                </w:rPr>
                                <w:t>印</w:t>
                              </w:r>
                              <w:r>
                                <w:rPr>
                                  <w:spacing w:val="2"/>
                                  <w:w w:val="99"/>
                                  <w:sz w:val="21"/>
                                  <w:szCs w:val="21"/>
                                </w:rPr>
                                <w:t>件</w:t>
                              </w:r>
                              <w:r>
                                <w:rPr>
                                  <w:spacing w:val="-1"/>
                                  <w:w w:val="99"/>
                                  <w:sz w:val="21"/>
                                  <w:szCs w:val="21"/>
                                </w:rPr>
                                <w:t>粘</w:t>
                              </w:r>
                              <w:r>
                                <w:rPr>
                                  <w:spacing w:val="2"/>
                                  <w:w w:val="99"/>
                                  <w:sz w:val="21"/>
                                  <w:szCs w:val="21"/>
                                </w:rPr>
                                <w:t>贴处</w:t>
                              </w:r>
                            </w:p>
                          </w:txbxContent>
                        </wps:txbx>
                        <wps:bodyPr wrap="square" lIns="0" tIns="0" rIns="0" bIns="0" upright="1"/>
                      </wps:wsp>
                      <wps:wsp>
                        <wps:cNvPr id="35" name="文本框 37"/>
                        <wps:cNvSpPr txBox="1"/>
                        <wps:spPr>
                          <a:xfrm>
                            <a:off x="1756" y="1075"/>
                            <a:ext cx="838" cy="209"/>
                          </a:xfrm>
                          <a:prstGeom prst="rect">
                            <a:avLst/>
                          </a:prstGeom>
                          <a:noFill/>
                          <a:ln>
                            <a:noFill/>
                          </a:ln>
                        </wps:spPr>
                        <wps:txbx>
                          <w:txbxContent>
                            <w:p>
                              <w:pPr>
                                <w:pStyle w:val="11"/>
                                <w:kinsoku w:val="0"/>
                                <w:overflowPunct w:val="0"/>
                                <w:spacing w:after="93" w:line="209" w:lineRule="exact"/>
                                <w:ind w:firstLine="0" w:firstLineChars="0"/>
                                <w:rPr>
                                  <w:szCs w:val="24"/>
                                </w:rPr>
                              </w:pPr>
                              <w:r>
                                <w:rPr>
                                  <w:spacing w:val="-1"/>
                                  <w:w w:val="99"/>
                                  <w:szCs w:val="24"/>
                                </w:rPr>
                                <w:t>（</w:t>
                              </w:r>
                              <w:r>
                                <w:rPr>
                                  <w:spacing w:val="2"/>
                                  <w:w w:val="99"/>
                                  <w:szCs w:val="24"/>
                                </w:rPr>
                                <w:t>正</w:t>
                              </w:r>
                              <w:r>
                                <w:rPr>
                                  <w:spacing w:val="-1"/>
                                  <w:w w:val="99"/>
                                  <w:szCs w:val="24"/>
                                </w:rPr>
                                <w:t>面</w:t>
                              </w:r>
                              <w:r>
                                <w:rPr>
                                  <w:w w:val="99"/>
                                  <w:szCs w:val="24"/>
                                </w:rPr>
                                <w:t>）</w:t>
                              </w:r>
                            </w:p>
                          </w:txbxContent>
                        </wps:txbx>
                        <wps:bodyPr wrap="square" lIns="0" tIns="0" rIns="0" bIns="0" upright="1"/>
                      </wps:wsp>
                    </wpg:wgp>
                  </a:graphicData>
                </a:graphic>
              </wp:anchor>
            </w:drawing>
          </mc:Choice>
          <mc:Fallback>
            <w:pict>
              <v:group id="组合 26" o:spid="_x0000_s1026" o:spt="203" style="position:absolute;left:0pt;margin-left:-2.5pt;margin-top:24.25pt;height:129.35pt;width:217.6pt;mso-wrap-distance-bottom:0pt;mso-wrap-distance-top:0pt;z-index:251660288;mso-width-relative:page;mso-height-relative:page;" coordsize="4352,2358" o:allowincell="f" o:gfxdata="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">
                <o:lock v:ext="edit" rotation="f" aspectratio="f"/>
                <v:group id="组合 27" o:spid="_x0000_s1026" o:spt="203" style="position:absolute;left:0;top:0;height:2358;width:4352;" coordsize="4352,2358"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任意多边形 28" o:spid="_x0000_s1026" o:spt="100" style="position:absolute;left:0;top:0;height:2358;width:4352;" fillcolor="#000000" filled="t" stroked="f" coordsize="4352,2358" o:gfxdata="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UEf4&#10;wAAAANsAAAAPAAAAAAAAAAEAIAAAACIAAABkcnMvZG93bnJldi54bWxQSwECFAAUAAAACACHTuJA&#10;My8FnjsAAAA5AAAAEAAAAAAAAAABACAAAAAPAQAAZHJzL3NoYXBleG1sLnhtbFBLBQYAAAAABgAG&#10;AFsBAAC5AwAAAAA=&#10;" path="m4352,2358l0,2358,0,0,4352,0,4352,7,15,7,7,15,15,15,15,2343,7,2343,15,2350,4352,2350,4352,2358xe">
                    <v:fill on="t" focussize="0,0"/>
                    <v:stroke on="f"/>
                    <v:imagedata o:title=""/>
                    <o:lock v:ext="edit" aspectratio="f"/>
                  </v:shape>
                  <v:shape id="任意多边形 29" o:spid="_x0000_s1026" o:spt="100" style="position:absolute;left:0;top:0;height:2358;width:4352;" fillcolor="#000000" filled="t" stroked="f" coordsize="4352,2358" o:gfxdata="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gtmP&#10;wAAAANsAAAAPAAAAAAAAAAEAIAAAACIAAABkcnMvZG93bnJldi54bWxQSwECFAAUAAAACACHTuJA&#10;My8FnjsAAAA5AAAAEAAAAAAAAAABACAAAAAPAQAAZHJzL3NoYXBleG1sLnhtbFBLBQYAAAAABgAG&#10;AFsBAAC5AwAAAAA=&#10;" path="m15,15l7,15,15,7,15,15xe">
                    <v:fill on="t" focussize="0,0"/>
                    <v:stroke on="f"/>
                    <v:imagedata o:title=""/>
                    <o:lock v:ext="edit" aspectratio="f"/>
                  </v:shape>
                  <v:shape id="任意多边形 30" o:spid="_x0000_s1026" o:spt="100" style="position:absolute;left:0;top:0;height:2358;width:4352;" fillcolor="#000000" filled="t" stroked="f" coordsize="4352,2358" o:gfxdata="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OfBS/&#10;AAAA2wAAAA8AAAAAAAAAAQAgAAAAIgAAAGRycy9kb3ducmV2LnhtbFBLAQIUABQAAAAIAIdO4kAz&#10;LwWeOwAAADkAAAAQAAAAAAAAAAEAIAAAAA4BAABkcnMvc2hhcGV4bWwueG1sUEsFBgAAAAAGAAYA&#10;WwEAALgDAAAAAA==&#10;" path="m4337,15l15,15,15,7,4337,7,4337,15xe">
                    <v:fill on="t" focussize="0,0"/>
                    <v:stroke on="f"/>
                    <v:imagedata o:title=""/>
                    <o:lock v:ext="edit" aspectratio="f"/>
                  </v:shape>
                  <v:shape id="任意多边形 31" o:spid="_x0000_s1026" o:spt="100" style="position:absolute;left:0;top:0;height:2358;width:4352;" fillcolor="#000000" filled="t" stroked="f" coordsize="4352,2358" o:gfxdata="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R6Ga8AAAA&#10;2wAAAA8AAAAAAAAAAQAgAAAAIgAAAGRycy9kb3ducmV2LnhtbFBLAQIUABQAAAAIAIdO4kAzLwWe&#10;OwAAADkAAAAQAAAAAAAAAAEAIAAAAAsBAABkcnMvc2hhcGV4bWwueG1sUEsFBgAAAAAGAAYAWwEA&#10;ALUDAAAAAA==&#10;" path="m4337,2350l4337,7,4344,15,4352,15,4352,2343,4344,2343,4337,2350xe">
                    <v:fill on="t" focussize="0,0"/>
                    <v:stroke on="f"/>
                    <v:imagedata o:title=""/>
                    <o:lock v:ext="edit" aspectratio="f"/>
                  </v:shape>
                  <v:shape id="任意多边形 32" o:spid="_x0000_s1026" o:spt="100" style="position:absolute;left:0;top:0;height:2358;width:4352;" fillcolor="#000000" filled="t" stroked="f" coordsize="4352,2358" o:gfxdata="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HU39&#10;wAAAANsAAAAPAAAAAAAAAAEAIAAAACIAAABkcnMvZG93bnJldi54bWxQSwECFAAUAAAACACHTuJA&#10;My8FnjsAAAA5AAAAEAAAAAAAAAABACAAAAAPAQAAZHJzL3NoYXBleG1sLnhtbFBLBQYAAAAABgAG&#10;AFsBAAC5AwAAAAA=&#10;" path="m4352,15l4344,15,4337,7,4352,7,4352,15xe">
                    <v:fill on="t" focussize="0,0"/>
                    <v:stroke on="f"/>
                    <v:imagedata o:title=""/>
                    <o:lock v:ext="edit" aspectratio="f"/>
                  </v:shape>
                  <v:shape id="任意多边形 33" o:spid="_x0000_s1026" o:spt="100" style="position:absolute;left:0;top:0;height:2358;width:4352;" fillcolor="#000000" filled="t" stroked="f" coordsize="4352,2358" o:gfxdata="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cr28AAAA&#10;2wAAAA8AAAAAAAAAAQAgAAAAIgAAAGRycy9kb3ducmV2LnhtbFBLAQIUABQAAAAIAIdO4kAzLwWe&#10;OwAAADkAAAAQAAAAAAAAAAEAIAAAAAsBAABkcnMvc2hhcGV4bWwueG1sUEsFBgAAAAAGAAYAWwEA&#10;ALUDAAAAAA==&#10;" path="m15,2350l7,2343,15,2343,15,2350xe">
                    <v:fill on="t" focussize="0,0"/>
                    <v:stroke on="f"/>
                    <v:imagedata o:title=""/>
                    <o:lock v:ext="edit" aspectratio="f"/>
                  </v:shape>
                  <v:shape id="任意多边形 34" o:spid="_x0000_s1026" o:spt="100" style="position:absolute;left:0;top:0;height:2358;width:4352;" fillcolor="#000000" filled="t" stroked="f" coordsize="4352,2358" o:gfxdata="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yy1ya/&#10;AAAA2wAAAA8AAAAAAAAAAQAgAAAAIgAAAGRycy9kb3ducmV2LnhtbFBLAQIUABQAAAAIAIdO4kAz&#10;LwWeOwAAADkAAAAQAAAAAAAAAAEAIAAAAA4BAABkcnMvc2hhcGV4bWwueG1sUEsFBgAAAAAGAAYA&#10;WwEAALgDAAAAAA==&#10;" path="m4337,2350l15,2350,15,2343,4337,2343,4337,2350xe">
                    <v:fill on="t" focussize="0,0"/>
                    <v:stroke on="f"/>
                    <v:imagedata o:title=""/>
                    <o:lock v:ext="edit" aspectratio="f"/>
                  </v:shape>
                  <v:shape id="任意多边形 35" o:spid="_x0000_s1026" o:spt="100" style="position:absolute;left:0;top:0;height:2358;width:4352;" fillcolor="#000000" filled="t" stroked="f" coordsize="4352,2358" o:gfxdata="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YElR&#10;wAAAANsAAAAPAAAAAAAAAAEAIAAAACIAAABkcnMvZG93bnJldi54bWxQSwECFAAUAAAACACHTuJA&#10;My8FnjsAAAA5AAAAEAAAAAAAAAABACAAAAAPAQAAZHJzL3NoYXBleG1sLnhtbFBLBQYAAAAABgAG&#10;AFsBAAC5AwAAAAA=&#10;" path="m4352,2350l4337,2350,4344,2343,4352,2343,4352,2350xe">
                    <v:fill on="t" focussize="0,0"/>
                    <v:stroke on="f"/>
                    <v:imagedata o:title=""/>
                    <o:lock v:ext="edit" aspectratio="f"/>
                  </v:shape>
                </v:group>
                <v:shape id="文本框 36" o:spid="_x0000_s1026" o:spt="202" type="#_x0000_t202" style="position:absolute;left:1022;top:139;height:521;width:2309;"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kinsoku w:val="0"/>
                          <w:overflowPunct w:val="0"/>
                          <w:spacing w:after="93" w:line="209" w:lineRule="exact"/>
                          <w:ind w:left="-2" w:leftChars="-1" w:firstLine="0" w:firstLineChars="0"/>
                          <w:jc w:val="center"/>
                          <w:rPr>
                            <w:rFonts w:hint="eastAsia"/>
                            <w:spacing w:val="2"/>
                            <w:w w:val="99"/>
                            <w:sz w:val="21"/>
                            <w:szCs w:val="21"/>
                          </w:rPr>
                        </w:pPr>
                        <w:r>
                          <w:rPr>
                            <w:spacing w:val="-1"/>
                            <w:w w:val="99"/>
                            <w:sz w:val="21"/>
                            <w:szCs w:val="21"/>
                          </w:rPr>
                          <w:t>委托代理人居</w:t>
                        </w:r>
                        <w:r>
                          <w:rPr>
                            <w:spacing w:val="2"/>
                            <w:w w:val="99"/>
                            <w:sz w:val="21"/>
                            <w:szCs w:val="21"/>
                          </w:rPr>
                          <w:t>民</w:t>
                        </w:r>
                      </w:p>
                      <w:p>
                        <w:pPr>
                          <w:pStyle w:val="11"/>
                          <w:kinsoku w:val="0"/>
                          <w:overflowPunct w:val="0"/>
                          <w:spacing w:after="93" w:line="209" w:lineRule="exact"/>
                          <w:ind w:left="-2" w:leftChars="-1" w:firstLine="0" w:firstLineChars="0"/>
                          <w:jc w:val="center"/>
                        </w:pPr>
                        <w:r>
                          <w:rPr>
                            <w:spacing w:val="-1"/>
                            <w:w w:val="99"/>
                            <w:sz w:val="21"/>
                            <w:szCs w:val="21"/>
                          </w:rPr>
                          <w:t>身</w:t>
                        </w:r>
                        <w:r>
                          <w:rPr>
                            <w:spacing w:val="2"/>
                            <w:w w:val="99"/>
                            <w:sz w:val="21"/>
                            <w:szCs w:val="21"/>
                          </w:rPr>
                          <w:t>份</w:t>
                        </w:r>
                        <w:r>
                          <w:rPr>
                            <w:spacing w:val="-1"/>
                            <w:w w:val="99"/>
                            <w:sz w:val="21"/>
                            <w:szCs w:val="21"/>
                          </w:rPr>
                          <w:t>证</w:t>
                        </w:r>
                        <w:r>
                          <w:rPr>
                            <w:spacing w:val="2"/>
                            <w:w w:val="99"/>
                            <w:sz w:val="21"/>
                            <w:szCs w:val="21"/>
                          </w:rPr>
                          <w:t>复</w:t>
                        </w:r>
                        <w:r>
                          <w:rPr>
                            <w:spacing w:val="-1"/>
                            <w:w w:val="99"/>
                            <w:sz w:val="21"/>
                            <w:szCs w:val="21"/>
                          </w:rPr>
                          <w:t>印</w:t>
                        </w:r>
                        <w:r>
                          <w:rPr>
                            <w:spacing w:val="2"/>
                            <w:w w:val="99"/>
                            <w:sz w:val="21"/>
                            <w:szCs w:val="21"/>
                          </w:rPr>
                          <w:t>件</w:t>
                        </w:r>
                        <w:r>
                          <w:rPr>
                            <w:spacing w:val="-1"/>
                            <w:w w:val="99"/>
                            <w:sz w:val="21"/>
                            <w:szCs w:val="21"/>
                          </w:rPr>
                          <w:t>粘</w:t>
                        </w:r>
                        <w:r>
                          <w:rPr>
                            <w:spacing w:val="2"/>
                            <w:w w:val="99"/>
                            <w:sz w:val="21"/>
                            <w:szCs w:val="21"/>
                          </w:rPr>
                          <w:t>贴处</w:t>
                        </w:r>
                      </w:p>
                    </w:txbxContent>
                  </v:textbox>
                </v:shape>
                <v:shape id="文本框 37" o:spid="_x0000_s1026" o:spt="202" type="#_x0000_t202" style="position:absolute;left:1756;top:1075;height:209;width:838;"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11"/>
                          <w:kinsoku w:val="0"/>
                          <w:overflowPunct w:val="0"/>
                          <w:spacing w:after="93" w:line="209" w:lineRule="exact"/>
                          <w:ind w:firstLine="0" w:firstLineChars="0"/>
                          <w:rPr>
                            <w:szCs w:val="24"/>
                          </w:rPr>
                        </w:pPr>
                        <w:r>
                          <w:rPr>
                            <w:spacing w:val="-1"/>
                            <w:w w:val="99"/>
                            <w:szCs w:val="24"/>
                          </w:rPr>
                          <w:t>（</w:t>
                        </w:r>
                        <w:r>
                          <w:rPr>
                            <w:spacing w:val="2"/>
                            <w:w w:val="99"/>
                            <w:szCs w:val="24"/>
                          </w:rPr>
                          <w:t>正</w:t>
                        </w:r>
                        <w:r>
                          <w:rPr>
                            <w:spacing w:val="-1"/>
                            <w:w w:val="99"/>
                            <w:szCs w:val="24"/>
                          </w:rPr>
                          <w:t>面</w:t>
                        </w:r>
                        <w:r>
                          <w:rPr>
                            <w:w w:val="99"/>
                            <w:szCs w:val="24"/>
                          </w:rPr>
                          <w:t>）</w:t>
                        </w:r>
                      </w:p>
                    </w:txbxContent>
                  </v:textbox>
                </v:shape>
                <w10:wrap type="topAndBottom"/>
              </v:group>
            </w:pict>
          </mc:Fallback>
        </mc:AlternateContent>
      </w:r>
    </w:p>
    <w:p>
      <w:pPr>
        <w:spacing w:line="440" w:lineRule="exact"/>
        <w:rPr>
          <w:rFonts w:hint="eastAsia"/>
        </w:rPr>
      </w:pPr>
    </w:p>
    <w:p>
      <w:pPr>
        <w:spacing w:line="360" w:lineRule="auto"/>
        <w:ind w:left="-359" w:leftChars="-171"/>
        <w:rPr>
          <w:rFonts w:hint="eastAsia" w:ascii="宋体" w:hAnsi="宋体"/>
        </w:rPr>
      </w:pPr>
    </w:p>
    <w:p>
      <w:pPr>
        <w:spacing w:line="360" w:lineRule="auto"/>
        <w:ind w:left="-359" w:leftChars="-171"/>
        <w:rPr>
          <w:rFonts w:hint="eastAsia" w:ascii="宋体" w:hAnsi="宋体"/>
        </w:rPr>
      </w:pPr>
      <w:r>
        <w:rPr>
          <w:rFonts w:hint="eastAsia" w:ascii="宋体" w:hAnsi="宋体"/>
        </w:rPr>
        <w:t>说明：1、如法定代表人本人参加磋商的，磋商应答文件中不需提供法人授权委托证明书，但应提供法定代表人证明书及法定代表人身份证复印件；</w:t>
      </w:r>
    </w:p>
    <w:p>
      <w:pPr>
        <w:spacing w:line="360" w:lineRule="auto"/>
        <w:ind w:left="-358" w:leftChars="-171" w:hanging="1"/>
        <w:rPr>
          <w:rFonts w:hint="eastAsia" w:ascii="宋体" w:hAnsi="宋体"/>
        </w:rPr>
      </w:pPr>
      <w:r>
        <w:rPr>
          <w:rFonts w:hint="eastAsia" w:ascii="宋体" w:hAnsi="宋体"/>
        </w:rPr>
        <w:t xml:space="preserve">    2、如委托代理人参加磋商的，磋商应答文件中应提供法定代表人证明书、法人授权委托证明书，法定代表人和委托代理人身份证复印件。</w:t>
      </w:r>
    </w:p>
    <w:p>
      <w:pPr>
        <w:spacing w:line="360" w:lineRule="auto"/>
        <w:ind w:left="-358" w:leftChars="-171" w:hanging="1"/>
        <w:rPr>
          <w:rFonts w:hint="eastAsia" w:ascii="宋体" w:hAnsi="宋体"/>
          <w:color w:val="FF0000"/>
        </w:rPr>
      </w:pPr>
    </w:p>
    <w:p>
      <w:pPr>
        <w:spacing w:line="360" w:lineRule="auto"/>
        <w:jc w:val="center"/>
        <w:rPr>
          <w:rFonts w:hint="eastAsia"/>
          <w:b/>
          <w:sz w:val="28"/>
        </w:rPr>
      </w:pPr>
      <w:r>
        <w:rPr>
          <w:b/>
          <w:sz w:val="28"/>
        </w:rPr>
        <w:br w:type="page"/>
      </w:r>
      <w:r>
        <w:rPr>
          <w:rFonts w:hint="eastAsia"/>
          <w:b/>
          <w:sz w:val="28"/>
        </w:rPr>
        <w:t>7-6 供应商简介</w:t>
      </w:r>
    </w:p>
    <w:p>
      <w:pPr>
        <w:spacing w:line="400" w:lineRule="exact"/>
        <w:jc w:val="center"/>
        <w:rPr>
          <w:rFonts w:hint="eastAsia"/>
          <w:b/>
          <w:szCs w:val="21"/>
        </w:rPr>
      </w:pPr>
      <w:r>
        <w:rPr>
          <w:rFonts w:hint="eastAsia"/>
          <w:b/>
          <w:szCs w:val="21"/>
        </w:rPr>
        <w:t>（供应商基本情况表）</w:t>
      </w:r>
    </w:p>
    <w:tbl>
      <w:tblPr>
        <w:tblStyle w:val="26"/>
        <w:tblW w:w="86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66"/>
        <w:gridCol w:w="1326"/>
        <w:gridCol w:w="1718"/>
        <w:gridCol w:w="7"/>
        <w:gridCol w:w="1287"/>
        <w:gridCol w:w="178"/>
        <w:gridCol w:w="1602"/>
        <w:gridCol w:w="1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2" w:hRule="atLeast"/>
        </w:trPr>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供应商名称 </w:t>
            </w:r>
          </w:p>
        </w:tc>
        <w:tc>
          <w:tcPr>
            <w:tcW w:w="7180"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8" w:hRule="atLeast"/>
        </w:trPr>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r>
              <w:rPr>
                <w:rFonts w:hint="eastAsia" w:ascii="宋体" w:hAnsi="宋体" w:cs="Arial"/>
                <w:kern w:val="0"/>
                <w:szCs w:val="21"/>
              </w:rPr>
              <w:t>注册地址</w:t>
            </w:r>
          </w:p>
        </w:tc>
        <w:tc>
          <w:tcPr>
            <w:tcW w:w="3051"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r>
              <w:rPr>
                <w:rFonts w:hint="eastAsia" w:ascii="宋体" w:hAnsi="宋体" w:cs="Arial"/>
                <w:kern w:val="0"/>
                <w:szCs w:val="21"/>
              </w:rPr>
              <w:t>企业类型</w:t>
            </w:r>
          </w:p>
        </w:tc>
        <w:tc>
          <w:tcPr>
            <w:tcW w:w="284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3" w:hRule="atLeast"/>
        </w:trPr>
        <w:tc>
          <w:tcPr>
            <w:tcW w:w="1466"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联系方式</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联系人</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联系电话</w:t>
            </w:r>
          </w:p>
        </w:tc>
        <w:tc>
          <w:tcPr>
            <w:tcW w:w="284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5" w:hRule="atLeast"/>
        </w:trPr>
        <w:tc>
          <w:tcPr>
            <w:tcW w:w="1466"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p>
        </w:tc>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r>
              <w:rPr>
                <w:rFonts w:hint="eastAsia" w:ascii="宋体" w:hAnsi="宋体" w:cs="Arial"/>
                <w:kern w:val="0"/>
                <w:szCs w:val="21"/>
              </w:rPr>
              <w:t>传真</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r>
              <w:rPr>
                <w:rFonts w:hint="eastAsia" w:ascii="宋体" w:hAnsi="宋体" w:cs="Arial"/>
                <w:kern w:val="0"/>
                <w:szCs w:val="21"/>
              </w:rPr>
              <w:t>网址</w:t>
            </w:r>
          </w:p>
        </w:tc>
        <w:tc>
          <w:tcPr>
            <w:tcW w:w="284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8" w:hRule="atLeast"/>
        </w:trPr>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成立时间 </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注册资金(万元) </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c>
          <w:tcPr>
            <w:tcW w:w="1780"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固定资产(万元) </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8" w:hRule="atLeast"/>
        </w:trPr>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法人代表 </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主要负责人 </w:t>
            </w:r>
          </w:p>
        </w:tc>
        <w:tc>
          <w:tcPr>
            <w:tcW w:w="4136"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8" w:hRule="atLeast"/>
        </w:trPr>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r>
              <w:rPr>
                <w:rFonts w:hint="eastAsia" w:ascii="宋体" w:hAnsi="宋体" w:cs="Arial"/>
                <w:kern w:val="0"/>
                <w:szCs w:val="21"/>
              </w:rPr>
              <w:t>经营范围</w:t>
            </w:r>
          </w:p>
        </w:tc>
        <w:tc>
          <w:tcPr>
            <w:tcW w:w="718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5" w:hRule="atLeast"/>
        </w:trPr>
        <w:tc>
          <w:tcPr>
            <w:tcW w:w="14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r>
              <w:rPr>
                <w:rFonts w:hint="eastAsia" w:ascii="宋体" w:hAnsi="宋体" w:cs="Arial"/>
                <w:kern w:val="0"/>
                <w:szCs w:val="21"/>
              </w:rPr>
              <w:t>资质等级情况</w:t>
            </w:r>
          </w:p>
          <w:p>
            <w:pPr>
              <w:widowControl/>
              <w:adjustRightInd w:val="0"/>
              <w:snapToGrid w:val="0"/>
              <w:jc w:val="center"/>
              <w:rPr>
                <w:rFonts w:hint="eastAsia" w:ascii="宋体" w:hAnsi="宋体" w:cs="Arial"/>
                <w:kern w:val="0"/>
                <w:szCs w:val="21"/>
              </w:rPr>
            </w:pPr>
            <w:r>
              <w:rPr>
                <w:rFonts w:hint="eastAsia" w:ascii="宋体" w:hAnsi="宋体" w:cs="Arial"/>
                <w:kern w:val="0"/>
                <w:szCs w:val="21"/>
              </w:rPr>
              <w:t>(如有)</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资质名称 </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颁发部门 </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资质等级 </w:t>
            </w:r>
          </w:p>
        </w:tc>
        <w:tc>
          <w:tcPr>
            <w:tcW w:w="266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颁发时间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24" w:hRule="atLeast"/>
        </w:trPr>
        <w:tc>
          <w:tcPr>
            <w:tcW w:w="1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c>
          <w:tcPr>
            <w:tcW w:w="266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1" w:hRule="atLeast"/>
        </w:trPr>
        <w:tc>
          <w:tcPr>
            <w:tcW w:w="14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ascii="宋体" w:hAnsi="宋体" w:cs="Arial"/>
                <w:kern w:val="0"/>
                <w:szCs w:val="21"/>
              </w:rPr>
              <w:t>……</w:t>
            </w:r>
            <w:r>
              <w:rPr>
                <w:rFonts w:hint="eastAsia" w:ascii="宋体" w:hAnsi="宋体" w:cs="Arial"/>
                <w:kern w:val="0"/>
                <w:szCs w:val="21"/>
              </w:rPr>
              <w:t xml:space="preserve">  </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c>
          <w:tcPr>
            <w:tcW w:w="266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7" w:hRule="atLeast"/>
        </w:trPr>
        <w:tc>
          <w:tcPr>
            <w:tcW w:w="1466"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员工总人数</w:t>
            </w:r>
          </w:p>
        </w:tc>
        <w:tc>
          <w:tcPr>
            <w:tcW w:w="3044" w:type="dxa"/>
            <w:gridSpan w:val="2"/>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r>
              <w:rPr>
                <w:rFonts w:hint="eastAsia" w:ascii="宋体" w:hAnsi="宋体" w:cs="宋体"/>
                <w:kern w:val="0"/>
                <w:szCs w:val="21"/>
              </w:rPr>
              <w:t>人</w:t>
            </w:r>
          </w:p>
        </w:tc>
        <w:tc>
          <w:tcPr>
            <w:tcW w:w="1472" w:type="dxa"/>
            <w:gridSpan w:val="3"/>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宋体" w:hAnsi="宋体" w:cs="Arial"/>
                <w:b/>
                <w:kern w:val="0"/>
                <w:szCs w:val="21"/>
              </w:rPr>
            </w:pPr>
            <w:r>
              <w:rPr>
                <w:rFonts w:hint="eastAsia"/>
                <w:szCs w:val="28"/>
              </w:rPr>
              <w:t>中高级职称人数</w:t>
            </w:r>
          </w:p>
        </w:tc>
        <w:tc>
          <w:tcPr>
            <w:tcW w:w="2664" w:type="dxa"/>
            <w:gridSpan w:val="2"/>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宋体" w:hAnsi="宋体" w:cs="Arial"/>
                <w:kern w:val="0"/>
                <w:szCs w:val="21"/>
              </w:rPr>
            </w:pPr>
            <w:r>
              <w:rPr>
                <w:rFonts w:hint="eastAsia" w:ascii="宋体" w:hAnsi="宋体" w:cs="宋体"/>
                <w:kern w:val="0"/>
                <w:szCs w:val="21"/>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53" w:hRule="atLeast"/>
        </w:trPr>
        <w:tc>
          <w:tcPr>
            <w:tcW w:w="1466" w:type="dxa"/>
            <w:tcBorders>
              <w:top w:val="single" w:color="auto" w:sz="4" w:space="0"/>
              <w:left w:val="single" w:color="auto" w:sz="4" w:space="0"/>
              <w:right w:val="single" w:color="auto" w:sz="4" w:space="0"/>
            </w:tcBorders>
            <w:noWrap w:val="0"/>
            <w:vAlign w:val="center"/>
          </w:tcPr>
          <w:p>
            <w:pPr>
              <w:widowControl/>
              <w:adjustRightInd w:val="0"/>
              <w:snapToGrid w:val="0"/>
              <w:rPr>
                <w:rFonts w:hint="eastAsia" w:ascii="宋体" w:hAnsi="宋体" w:cs="宋体"/>
                <w:kern w:val="0"/>
                <w:szCs w:val="21"/>
              </w:rPr>
            </w:pPr>
            <w:r>
              <w:rPr>
                <w:rFonts w:hint="eastAsia" w:ascii="宋体" w:hAnsi="宋体" w:cs="Arial"/>
                <w:kern w:val="0"/>
                <w:szCs w:val="21"/>
              </w:rPr>
              <w:t>单位介绍及目前单位状况</w:t>
            </w:r>
          </w:p>
        </w:tc>
        <w:tc>
          <w:tcPr>
            <w:tcW w:w="7180" w:type="dxa"/>
            <w:gridSpan w:val="7"/>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p>
            <w:pPr>
              <w:widowControl/>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46" w:hRule="atLeast"/>
        </w:trPr>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其他有竞争力 </w:t>
            </w:r>
          </w:p>
          <w:p>
            <w:pPr>
              <w:widowControl/>
              <w:adjustRightInd w:val="0"/>
              <w:snapToGrid w:val="0"/>
              <w:jc w:val="center"/>
              <w:rPr>
                <w:rFonts w:hint="eastAsia" w:ascii="宋体" w:hAnsi="宋体" w:cs="宋体"/>
                <w:kern w:val="0"/>
                <w:szCs w:val="21"/>
              </w:rPr>
            </w:pPr>
            <w:r>
              <w:rPr>
                <w:rFonts w:hint="eastAsia" w:ascii="宋体" w:hAnsi="宋体" w:cs="Arial"/>
                <w:kern w:val="0"/>
                <w:szCs w:val="21"/>
              </w:rPr>
              <w:t xml:space="preserve">的说明 </w:t>
            </w:r>
          </w:p>
        </w:tc>
        <w:tc>
          <w:tcPr>
            <w:tcW w:w="7180"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kern w:val="0"/>
                <w:szCs w:val="21"/>
              </w:rPr>
            </w:pPr>
          </w:p>
          <w:p>
            <w:pPr>
              <w:widowControl/>
              <w:adjustRightInd w:val="0"/>
              <w:snapToGrid w:val="0"/>
              <w:jc w:val="center"/>
              <w:rPr>
                <w:rFonts w:hint="eastAsia" w:ascii="宋体" w:hAnsi="宋体" w:cs="宋体"/>
                <w:kern w:val="0"/>
                <w:szCs w:val="21"/>
              </w:rPr>
            </w:pPr>
          </w:p>
        </w:tc>
      </w:tr>
    </w:tbl>
    <w:p>
      <w:pPr>
        <w:pStyle w:val="158"/>
        <w:spacing w:line="240" w:lineRule="auto"/>
        <w:ind w:right="17"/>
        <w:rPr>
          <w:rFonts w:hint="eastAsia" w:ascii="宋体" w:hAnsi="宋体"/>
          <w:kern w:val="2"/>
          <w:sz w:val="21"/>
          <w:szCs w:val="21"/>
        </w:rPr>
      </w:pPr>
      <w:r>
        <w:rPr>
          <w:rFonts w:hint="eastAsia" w:ascii="宋体" w:hAnsi="宋体"/>
          <w:kern w:val="2"/>
          <w:sz w:val="21"/>
          <w:szCs w:val="21"/>
        </w:rPr>
        <w:t>注：1、在按要求填写好此表格后，供应商如果认为有必要，可以用其它的方式，就公司整体情况做出详细的介绍。</w:t>
      </w:r>
    </w:p>
    <w:p>
      <w:pPr>
        <w:pStyle w:val="158"/>
        <w:spacing w:line="240" w:lineRule="auto"/>
        <w:ind w:right="17"/>
        <w:rPr>
          <w:rFonts w:hint="eastAsia" w:ascii="宋体" w:hAnsi="宋体"/>
          <w:kern w:val="2"/>
          <w:sz w:val="21"/>
          <w:szCs w:val="21"/>
        </w:rPr>
      </w:pPr>
      <w:r>
        <w:rPr>
          <w:rFonts w:hint="eastAsia" w:ascii="宋体" w:hAnsi="宋体"/>
          <w:kern w:val="2"/>
          <w:sz w:val="21"/>
          <w:szCs w:val="21"/>
        </w:rPr>
        <w:t>2、</w:t>
      </w:r>
      <w:r>
        <w:rPr>
          <w:rFonts w:hint="eastAsia" w:ascii="宋体" w:hAnsi="宋体"/>
          <w:sz w:val="21"/>
          <w:szCs w:val="21"/>
        </w:rPr>
        <w:t>如有获奖、表彰、受奖励等情况介绍，须附相关证明材料复印件加盖公章（原件备查）。</w:t>
      </w:r>
    </w:p>
    <w:p>
      <w:pPr>
        <w:spacing w:line="360" w:lineRule="auto"/>
        <w:rPr>
          <w:rFonts w:hint="eastAsia" w:ascii="宋体" w:hAnsi="宋体"/>
          <w:b/>
          <w:szCs w:val="36"/>
        </w:rPr>
      </w:pPr>
    </w:p>
    <w:p>
      <w:pPr>
        <w:spacing w:line="360" w:lineRule="auto"/>
        <w:rPr>
          <w:rFonts w:hint="eastAsia"/>
          <w:szCs w:val="21"/>
          <w:u w:val="single"/>
        </w:rPr>
      </w:pPr>
      <w:r>
        <w:rPr>
          <w:rFonts w:hint="eastAsia"/>
          <w:szCs w:val="21"/>
        </w:rPr>
        <w:t>供应商代表（签字）：</w:t>
      </w:r>
      <w:r>
        <w:rPr>
          <w:rFonts w:hint="eastAsia"/>
          <w:szCs w:val="21"/>
          <w:u w:val="single"/>
        </w:rPr>
        <w:t xml:space="preserve">                          </w:t>
      </w:r>
    </w:p>
    <w:p>
      <w:pPr>
        <w:ind w:firstLine="420" w:firstLineChars="200"/>
        <w:rPr>
          <w:rFonts w:hint="eastAsia" w:ascii="宋体" w:hAnsi="宋体"/>
          <w:szCs w:val="21"/>
        </w:rPr>
      </w:pPr>
    </w:p>
    <w:p>
      <w:pPr>
        <w:pStyle w:val="158"/>
        <w:spacing w:line="360" w:lineRule="auto"/>
        <w:ind w:right="17"/>
        <w:rPr>
          <w:rFonts w:hint="eastAsia"/>
          <w:sz w:val="21"/>
          <w:szCs w:val="28"/>
        </w:rPr>
      </w:pPr>
      <w:r>
        <w:rPr>
          <w:rFonts w:hint="eastAsia" w:ascii="宋体" w:hAnsi="宋体"/>
          <w:sz w:val="21"/>
          <w:szCs w:val="21"/>
        </w:rPr>
        <w:t>单位盖章（公章）</w:t>
      </w:r>
      <w:r>
        <w:rPr>
          <w:rFonts w:hint="eastAsia"/>
          <w:sz w:val="21"/>
          <w:szCs w:val="21"/>
        </w:rPr>
        <w:t>：</w:t>
      </w:r>
      <w:r>
        <w:rPr>
          <w:rFonts w:hint="eastAsia"/>
          <w:sz w:val="21"/>
          <w:szCs w:val="21"/>
          <w:u w:val="single"/>
        </w:rPr>
        <w:t xml:space="preserve">            </w:t>
      </w:r>
      <w:r>
        <w:rPr>
          <w:rFonts w:hint="eastAsia" w:ascii="宋体" w:hAnsi="宋体"/>
          <w:sz w:val="21"/>
          <w:szCs w:val="21"/>
          <w:u w:val="single"/>
        </w:rPr>
        <w:t xml:space="preserve">                </w:t>
      </w:r>
    </w:p>
    <w:p>
      <w:pPr>
        <w:spacing w:line="360" w:lineRule="auto"/>
        <w:jc w:val="center"/>
        <w:rPr>
          <w:rFonts w:hint="eastAsia"/>
          <w:b/>
          <w:color w:val="FF0000"/>
          <w:sz w:val="28"/>
          <w:szCs w:val="28"/>
        </w:rPr>
      </w:pPr>
    </w:p>
    <w:p>
      <w:pPr>
        <w:spacing w:line="360" w:lineRule="auto"/>
        <w:jc w:val="center"/>
        <w:rPr>
          <w:rFonts w:hint="eastAsia"/>
          <w:b/>
          <w:color w:val="FF0000"/>
          <w:sz w:val="28"/>
          <w:szCs w:val="28"/>
        </w:rPr>
      </w:pPr>
    </w:p>
    <w:p>
      <w:pPr>
        <w:spacing w:line="360" w:lineRule="auto"/>
        <w:jc w:val="center"/>
        <w:rPr>
          <w:b/>
          <w:sz w:val="28"/>
          <w:szCs w:val="28"/>
        </w:rPr>
      </w:pPr>
      <w:r>
        <w:rPr>
          <w:b/>
          <w:color w:val="FF0000"/>
          <w:sz w:val="28"/>
          <w:szCs w:val="28"/>
        </w:rPr>
        <w:br w:type="page"/>
      </w:r>
      <w:r>
        <w:rPr>
          <w:rFonts w:hint="eastAsia"/>
          <w:b/>
          <w:sz w:val="28"/>
          <w:szCs w:val="28"/>
        </w:rPr>
        <w:t>7</w:t>
      </w:r>
      <w:r>
        <w:rPr>
          <w:b/>
          <w:sz w:val="28"/>
          <w:szCs w:val="28"/>
        </w:rPr>
        <w:t>-</w:t>
      </w:r>
      <w:r>
        <w:rPr>
          <w:rFonts w:hint="eastAsia"/>
          <w:b/>
          <w:sz w:val="28"/>
          <w:szCs w:val="28"/>
        </w:rPr>
        <w:t>7</w:t>
      </w:r>
      <w:r>
        <w:rPr>
          <w:b/>
          <w:sz w:val="28"/>
          <w:szCs w:val="28"/>
        </w:rPr>
        <w:t xml:space="preserve"> </w:t>
      </w:r>
      <w:r>
        <w:rPr>
          <w:rFonts w:hAnsi="宋体"/>
          <w:b/>
          <w:sz w:val="28"/>
          <w:szCs w:val="28"/>
        </w:rPr>
        <w:t>其他证明文件（资料）</w:t>
      </w:r>
      <w:r>
        <w:rPr>
          <w:rFonts w:hint="eastAsia" w:hAnsi="宋体"/>
          <w:b/>
          <w:sz w:val="28"/>
          <w:szCs w:val="28"/>
        </w:rPr>
        <w:t>（如有）</w:t>
      </w:r>
    </w:p>
    <w:p>
      <w:pPr>
        <w:spacing w:line="360" w:lineRule="auto"/>
        <w:ind w:firstLine="420" w:firstLineChars="200"/>
        <w:jc w:val="center"/>
        <w:rPr>
          <w:rFonts w:hint="eastAsia"/>
          <w:iCs/>
          <w:szCs w:val="21"/>
        </w:rPr>
      </w:pPr>
      <w:r>
        <w:rPr>
          <w:rFonts w:hint="eastAsia" w:ascii="宋体" w:hAnsi="宋体"/>
          <w:szCs w:val="21"/>
        </w:rPr>
        <w:t>第二章《项目要求》中规定提供的其他证明文件以及供应商认为</w:t>
      </w:r>
      <w:r>
        <w:rPr>
          <w:rFonts w:hint="eastAsia"/>
          <w:szCs w:val="21"/>
        </w:rPr>
        <w:t>需加以说明的其他内容（如有），</w:t>
      </w:r>
      <w:r>
        <w:rPr>
          <w:rFonts w:hAnsi="宋体"/>
          <w:iCs/>
          <w:szCs w:val="21"/>
        </w:rPr>
        <w:t>按此序号延续</w:t>
      </w:r>
      <w:r>
        <w:rPr>
          <w:rFonts w:hint="eastAsia"/>
          <w:iCs/>
          <w:szCs w:val="21"/>
        </w:rPr>
        <w:t>。</w:t>
      </w:r>
    </w:p>
    <w:p>
      <w:pPr>
        <w:spacing w:line="360" w:lineRule="auto"/>
        <w:ind w:firstLine="420" w:firstLineChars="200"/>
        <w:jc w:val="center"/>
        <w:rPr>
          <w:rFonts w:hint="eastAsia" w:ascii="宋体" w:hAnsi="宋体"/>
          <w:color w:val="FF0000"/>
          <w:szCs w:val="21"/>
        </w:rPr>
      </w:pPr>
    </w:p>
    <w:p>
      <w:pPr>
        <w:spacing w:line="360" w:lineRule="auto"/>
        <w:ind w:firstLine="420" w:firstLineChars="200"/>
        <w:jc w:val="left"/>
        <w:rPr>
          <w:rFonts w:hint="eastAsia" w:ascii="宋体" w:hAnsi="宋体"/>
          <w:color w:val="FF0000"/>
          <w:szCs w:val="21"/>
        </w:rPr>
      </w:pPr>
    </w:p>
    <w:p>
      <w:pPr>
        <w:spacing w:line="360" w:lineRule="auto"/>
        <w:jc w:val="center"/>
        <w:rPr>
          <w:rFonts w:hint="eastAsia"/>
          <w:b/>
          <w:color w:val="FF0000"/>
          <w:sz w:val="28"/>
        </w:rPr>
      </w:pPr>
      <w:r>
        <w:rPr>
          <w:rFonts w:hint="eastAsia"/>
          <w:b/>
          <w:color w:val="FF0000"/>
          <w:sz w:val="28"/>
        </w:rPr>
        <w:t>提供磋商邀请函（加盖公章）</w:t>
      </w:r>
    </w:p>
    <w:p>
      <w:pPr>
        <w:pStyle w:val="4"/>
        <w:snapToGrid w:val="0"/>
        <w:spacing w:before="0" w:after="0" w:line="360" w:lineRule="auto"/>
        <w:jc w:val="center"/>
        <w:rPr>
          <w:rFonts w:hint="eastAsia" w:ascii="黑体" w:hAnsi="黑体" w:eastAsia="黑体"/>
          <w:b w:val="0"/>
        </w:rPr>
      </w:pPr>
      <w:r>
        <w:rPr>
          <w:rFonts w:ascii="黑体" w:hAnsi="黑体" w:eastAsia="黑体"/>
          <w:b w:val="0"/>
          <w:color w:val="FF0000"/>
        </w:rPr>
        <w:br w:type="page"/>
      </w:r>
      <w:bookmarkStart w:id="85" w:name="_Toc161306890"/>
      <w:r>
        <w:rPr>
          <w:rFonts w:hint="eastAsia" w:ascii="黑体" w:hAnsi="黑体" w:eastAsia="黑体"/>
        </w:rPr>
        <w:t>8、承诺函</w:t>
      </w:r>
      <w:bookmarkEnd w:id="85"/>
    </w:p>
    <w:p>
      <w:pPr>
        <w:spacing w:line="480" w:lineRule="auto"/>
        <w:jc w:val="center"/>
        <w:rPr>
          <w:rFonts w:hint="eastAsia" w:ascii="宋体" w:hAnsi="宋体"/>
          <w:b/>
          <w:sz w:val="24"/>
        </w:rPr>
      </w:pPr>
      <w:bookmarkStart w:id="86" w:name="_Toc329331994"/>
      <w:r>
        <w:rPr>
          <w:rFonts w:hint="eastAsia" w:ascii="宋体" w:hAnsi="宋体"/>
          <w:b/>
          <w:sz w:val="24"/>
        </w:rPr>
        <w:t>8.1 未侵犯知识产权的声明</w:t>
      </w:r>
      <w:bookmarkEnd w:id="86"/>
    </w:p>
    <w:p>
      <w:pPr>
        <w:pStyle w:val="12"/>
        <w:spacing w:line="400" w:lineRule="exact"/>
        <w:ind w:firstLine="502" w:firstLineChars="250"/>
        <w:jc w:val="center"/>
        <w:rPr>
          <w:rFonts w:hint="eastAsia"/>
          <w:b/>
          <w:szCs w:val="21"/>
        </w:rPr>
      </w:pPr>
    </w:p>
    <w:p>
      <w:pPr>
        <w:spacing w:line="360" w:lineRule="auto"/>
        <w:rPr>
          <w:rFonts w:hint="eastAsia"/>
          <w:szCs w:val="21"/>
          <w:u w:val="single"/>
        </w:rPr>
      </w:pPr>
      <w:r>
        <w:rPr>
          <w:szCs w:val="21"/>
        </w:rPr>
        <w:t>致：</w:t>
      </w:r>
      <w:r>
        <w:rPr>
          <w:rFonts w:hint="eastAsia"/>
          <w:szCs w:val="21"/>
          <w:u w:val="single"/>
        </w:rPr>
        <w:t>深圳市东方招标有限公司</w:t>
      </w:r>
    </w:p>
    <w:p>
      <w:pPr>
        <w:spacing w:line="480" w:lineRule="exact"/>
        <w:ind w:firstLine="420" w:firstLineChars="200"/>
        <w:rPr>
          <w:rFonts w:hint="eastAsia" w:ascii="宋体"/>
        </w:rPr>
      </w:pPr>
      <w:r>
        <w:rPr>
          <w:rFonts w:hint="eastAsia" w:ascii="Arial" w:hAnsi="Arial" w:cs="Arial"/>
          <w:szCs w:val="21"/>
        </w:rPr>
        <w:t>根据</w:t>
      </w:r>
      <w:r>
        <w:rPr>
          <w:rFonts w:ascii="Arial" w:hAnsi="Arial" w:cs="Arial"/>
          <w:szCs w:val="21"/>
        </w:rPr>
        <w:t>《深圳经济特区加强知识产权保护工作若干规定》</w:t>
      </w:r>
      <w:r>
        <w:rPr>
          <w:rFonts w:hint="eastAsia" w:ascii="Arial" w:hAnsi="Arial" w:cs="Arial"/>
          <w:szCs w:val="21"/>
        </w:rPr>
        <w:t>精神，</w:t>
      </w:r>
      <w:r>
        <w:rPr>
          <w:rFonts w:hint="eastAsia" w:ascii="宋体"/>
        </w:rPr>
        <w:t>我方承诺，对我方在贵公司组织的</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（项目编号）</w:t>
      </w:r>
      <w:r>
        <w:rPr>
          <w:rFonts w:hint="eastAsia" w:ascii="宋体"/>
        </w:rPr>
        <w:t>项目中所提供的货物、工程或服务未侵犯知识产权。</w:t>
      </w:r>
    </w:p>
    <w:p>
      <w:pPr>
        <w:spacing w:line="480" w:lineRule="exact"/>
        <w:ind w:firstLine="420" w:firstLineChars="200"/>
        <w:rPr>
          <w:rFonts w:hint="eastAsia" w:ascii="宋体"/>
        </w:rPr>
      </w:pPr>
      <w:r>
        <w:rPr>
          <w:rFonts w:hint="eastAsia" w:ascii="宋体"/>
        </w:rPr>
        <w:t>我公司已清楚，提供虚假承诺或者被有关单位确认为侵犯知识产权的，三年内不得参加政府采购活动。</w:t>
      </w:r>
    </w:p>
    <w:p>
      <w:pPr>
        <w:spacing w:line="480" w:lineRule="exact"/>
        <w:ind w:firstLine="420" w:firstLineChars="200"/>
        <w:rPr>
          <w:rFonts w:hint="eastAsia" w:ascii="宋体"/>
        </w:rPr>
      </w:pPr>
      <w:r>
        <w:rPr>
          <w:rFonts w:hint="eastAsia" w:ascii="宋体"/>
        </w:rPr>
        <w:t>特此承诺!</w:t>
      </w:r>
    </w:p>
    <w:p>
      <w:pPr>
        <w:spacing w:line="480" w:lineRule="exact"/>
        <w:rPr>
          <w:rFonts w:hint="eastAsia" w:ascii="宋体"/>
        </w:rPr>
      </w:pPr>
    </w:p>
    <w:p>
      <w:pPr>
        <w:spacing w:line="360" w:lineRule="auto"/>
        <w:ind w:firstLine="435"/>
        <w:rPr>
          <w:rFonts w:hint="eastAsia"/>
        </w:rPr>
      </w:pPr>
      <w:r>
        <w:rPr>
          <w:rFonts w:hint="eastAsia"/>
          <w:szCs w:val="21"/>
        </w:rPr>
        <w:t>供应商代表（签字）：</w:t>
      </w:r>
      <w:r>
        <w:rPr>
          <w:rFonts w:hint="eastAsia"/>
          <w:szCs w:val="21"/>
          <w:u w:val="single"/>
        </w:rPr>
        <w:t xml:space="preserve">                             </w:t>
      </w:r>
    </w:p>
    <w:p>
      <w:pPr>
        <w:ind w:firstLine="420" w:firstLineChars="200"/>
        <w:rPr>
          <w:rFonts w:hint="eastAsia" w:ascii="宋体" w:hAnsi="宋体"/>
          <w:szCs w:val="21"/>
        </w:rPr>
      </w:pPr>
    </w:p>
    <w:p>
      <w:pPr>
        <w:spacing w:line="360" w:lineRule="auto"/>
        <w:ind w:firstLine="435"/>
        <w:rPr>
          <w:rFonts w:hint="eastAsia"/>
        </w:rPr>
      </w:pPr>
      <w:r>
        <w:rPr>
          <w:rFonts w:hint="eastAsia" w:ascii="宋体" w:hAnsi="宋体"/>
          <w:szCs w:val="21"/>
        </w:rPr>
        <w:t>单位盖章（公章）</w:t>
      </w:r>
      <w:r>
        <w:rPr>
          <w:rFonts w:hint="eastAsia"/>
          <w:szCs w:val="21"/>
        </w:rPr>
        <w:t>：</w:t>
      </w:r>
      <w:r>
        <w:rPr>
          <w:rFonts w:hint="eastAsia"/>
          <w:szCs w:val="21"/>
          <w:u w:val="single"/>
        </w:rPr>
        <w:t xml:space="preserve">            </w:t>
      </w:r>
      <w:r>
        <w:rPr>
          <w:rFonts w:hint="eastAsia" w:ascii="宋体" w:hAnsi="宋体"/>
          <w:szCs w:val="21"/>
          <w:u w:val="single"/>
        </w:rPr>
        <w:t xml:space="preserve">                </w:t>
      </w:r>
    </w:p>
    <w:p>
      <w:pPr>
        <w:rPr>
          <w:rFonts w:hint="eastAsia" w:ascii="宋体" w:hAnsi="宋体"/>
          <w:b/>
          <w:szCs w:val="36"/>
        </w:rPr>
      </w:pPr>
    </w:p>
    <w:p>
      <w:pPr>
        <w:spacing w:line="360" w:lineRule="auto"/>
        <w:rPr>
          <w:rFonts w:hint="eastAsia"/>
          <w:color w:val="FF0000"/>
        </w:rPr>
      </w:pPr>
    </w:p>
    <w:p>
      <w:pPr>
        <w:pStyle w:val="4"/>
        <w:snapToGrid w:val="0"/>
        <w:spacing w:before="0" w:after="0" w:line="360" w:lineRule="auto"/>
        <w:jc w:val="center"/>
        <w:rPr>
          <w:rFonts w:ascii="黑体" w:hAnsi="黑体" w:eastAsia="黑体"/>
          <w:b w:val="0"/>
        </w:rPr>
      </w:pPr>
      <w:bookmarkStart w:id="87" w:name="fujian45"/>
      <w:bookmarkEnd w:id="87"/>
      <w:r>
        <w:rPr>
          <w:rFonts w:ascii="黑体" w:hAnsi="黑体" w:eastAsia="黑体"/>
          <w:b w:val="0"/>
          <w:color w:val="FF0000"/>
        </w:rPr>
        <w:br w:type="page"/>
      </w:r>
      <w:bookmarkStart w:id="88" w:name="_Toc161306891"/>
      <w:r>
        <w:rPr>
          <w:rFonts w:hint="eastAsia" w:ascii="黑体" w:hAnsi="黑体" w:eastAsia="黑体"/>
        </w:rPr>
        <w:t>9、支付成交服务费</w:t>
      </w:r>
      <w:r>
        <w:rPr>
          <w:rFonts w:ascii="黑体" w:hAnsi="黑体" w:eastAsia="黑体"/>
        </w:rPr>
        <w:t>承诺函</w:t>
      </w:r>
      <w:bookmarkEnd w:id="88"/>
    </w:p>
    <w:p>
      <w:pPr>
        <w:rPr>
          <w:rFonts w:hint="eastAsia"/>
        </w:rPr>
      </w:pPr>
    </w:p>
    <w:p>
      <w:pPr>
        <w:spacing w:line="480" w:lineRule="exact"/>
        <w:rPr>
          <w:rFonts w:hint="eastAsia" w:ascii="宋体"/>
          <w:b/>
          <w:sz w:val="24"/>
        </w:rPr>
      </w:pPr>
      <w:r>
        <w:rPr>
          <w:rFonts w:hint="eastAsia" w:ascii="宋体"/>
        </w:rPr>
        <w:t>致</w:t>
      </w:r>
      <w:r>
        <w:rPr>
          <w:rFonts w:hint="eastAsia" w:ascii="宋体"/>
          <w:sz w:val="24"/>
        </w:rPr>
        <w:t>：</w:t>
      </w:r>
      <w:r>
        <w:rPr>
          <w:u w:val="single"/>
        </w:rPr>
        <w:t>深圳市东方招标有限公司</w:t>
      </w:r>
    </w:p>
    <w:p>
      <w:pPr>
        <w:spacing w:line="480" w:lineRule="exact"/>
        <w:rPr>
          <w:rFonts w:hint="eastAsia" w:ascii="宋体"/>
          <w:sz w:val="24"/>
        </w:rPr>
      </w:pPr>
    </w:p>
    <w:p>
      <w:pPr>
        <w:spacing w:line="480" w:lineRule="exact"/>
        <w:ind w:firstLine="420"/>
        <w:rPr>
          <w:rFonts w:hint="eastAsia" w:ascii="宋体"/>
          <w:b/>
        </w:rPr>
      </w:pPr>
      <w:r>
        <w:rPr>
          <w:rFonts w:hint="eastAsia" w:ascii="宋体"/>
        </w:rPr>
        <w:t>如果我方在贵公司组织的</w:t>
      </w:r>
      <w:r>
        <w:rPr>
          <w:rFonts w:hint="eastAsia"/>
          <w:u w:val="single"/>
        </w:rPr>
        <w:t xml:space="preserve">                         </w:t>
      </w:r>
      <w:r>
        <w:rPr>
          <w:rFonts w:hint="eastAsia"/>
        </w:rPr>
        <w:t>（项目名称）</w:t>
      </w:r>
      <w:r>
        <w:rPr>
          <w:rFonts w:hint="eastAsia"/>
          <w:u w:val="single"/>
        </w:rPr>
        <w:t xml:space="preserve">           </w:t>
      </w:r>
      <w:r>
        <w:rPr>
          <w:rFonts w:hint="eastAsia"/>
        </w:rPr>
        <w:t>（项目编号）</w:t>
      </w:r>
      <w:r>
        <w:rPr>
          <w:rFonts w:hint="eastAsia" w:ascii="宋体"/>
        </w:rPr>
        <w:t>中</w:t>
      </w:r>
      <w:r>
        <w:t>被评选为</w:t>
      </w:r>
      <w:r>
        <w:rPr>
          <w:rFonts w:hint="eastAsia"/>
        </w:rPr>
        <w:t>成交供应商</w:t>
      </w:r>
      <w:r>
        <w:t>，</w:t>
      </w:r>
      <w:r>
        <w:rPr>
          <w:rFonts w:hint="eastAsia" w:ascii="宋体"/>
        </w:rPr>
        <w:t>我方保证在收到《成交通知书》</w:t>
      </w:r>
      <w:r>
        <w:rPr>
          <w:rFonts w:hint="eastAsia"/>
        </w:rPr>
        <w:t>3</w:t>
      </w:r>
      <w:r>
        <w:t>日内</w:t>
      </w:r>
      <w:r>
        <w:rPr>
          <w:rFonts w:hint="eastAsia" w:ascii="宋体"/>
        </w:rPr>
        <w:t>，按《竞争性磋商文件》及</w:t>
      </w:r>
      <w:r>
        <w:t>国家计委</w:t>
      </w:r>
      <w:r>
        <w:rPr>
          <w:rFonts w:hint="eastAsia"/>
        </w:rPr>
        <w:t>发布的“</w:t>
      </w:r>
      <w:r>
        <w:t>计价格（2002）1980</w:t>
      </w:r>
      <w:r>
        <w:rPr>
          <w:rFonts w:hint="eastAsia"/>
        </w:rPr>
        <w:t>”</w:t>
      </w:r>
      <w:r>
        <w:t>号</w:t>
      </w:r>
      <w:r>
        <w:rPr>
          <w:rFonts w:hint="eastAsia"/>
        </w:rPr>
        <w:t>等</w:t>
      </w:r>
      <w:r>
        <w:t>文</w:t>
      </w:r>
      <w:r>
        <w:rPr>
          <w:rFonts w:hint="eastAsia"/>
        </w:rPr>
        <w:t>件</w:t>
      </w:r>
      <w:r>
        <w:t>规定</w:t>
      </w:r>
      <w:r>
        <w:rPr>
          <w:rFonts w:hint="eastAsia"/>
        </w:rPr>
        <w:t>，</w:t>
      </w:r>
      <w:r>
        <w:t>向贵</w:t>
      </w:r>
      <w:r>
        <w:rPr>
          <w:rFonts w:hint="eastAsia"/>
        </w:rPr>
        <w:t>公司</w:t>
      </w:r>
      <w:r>
        <w:rPr>
          <w:rFonts w:hint="eastAsia" w:ascii="宋体"/>
        </w:rPr>
        <w:t>缴纳成交服务费。</w:t>
      </w:r>
      <w:r>
        <w:rPr>
          <w:rFonts w:hint="eastAsia" w:ascii="宋体"/>
          <w:b/>
        </w:rPr>
        <w:t>本项目成交服务费不足人民币柒仟元整（¥7,000.00）按人民币柒仟元整（¥7,000.00）缴纳。</w:t>
      </w:r>
    </w:p>
    <w:p>
      <w:pPr>
        <w:spacing w:line="480" w:lineRule="exact"/>
        <w:ind w:firstLine="420"/>
        <w:rPr>
          <w:rFonts w:hint="eastAsia" w:ascii="宋体"/>
          <w:b/>
        </w:rPr>
      </w:pPr>
    </w:p>
    <w:p>
      <w:pPr>
        <w:spacing w:line="480" w:lineRule="exact"/>
        <w:rPr>
          <w:rFonts w:hint="eastAsia" w:ascii="宋体"/>
        </w:rPr>
      </w:pPr>
      <w:r>
        <w:rPr>
          <w:rFonts w:hint="eastAsia" w:ascii="宋体"/>
        </w:rPr>
        <w:t xml:space="preserve">    我方如违约，愿凭贵公司开出的违约通知书，按成交服务费金额</w:t>
      </w:r>
      <w:r>
        <w:t>的200％在</w:t>
      </w:r>
      <w:r>
        <w:rPr>
          <w:rFonts w:hint="eastAsia" w:ascii="宋体"/>
        </w:rPr>
        <w:t>我方提交的磋商保证金及买方给我方的成交合同规定的货款中扣付，并在此同意和要求买方（应</w:t>
      </w:r>
      <w:r>
        <w:rPr>
          <w:rFonts w:hint="eastAsia" w:ascii="宋体"/>
          <w:b/>
        </w:rPr>
        <w:t>深圳市东方招标有限公司</w:t>
      </w:r>
      <w:r>
        <w:rPr>
          <w:rFonts w:hint="eastAsia" w:ascii="宋体"/>
        </w:rPr>
        <w:t>的要求）办理支付手续。</w:t>
      </w:r>
    </w:p>
    <w:p>
      <w:pPr>
        <w:spacing w:line="480" w:lineRule="exact"/>
        <w:rPr>
          <w:rFonts w:hint="eastAsia" w:ascii="宋体"/>
        </w:rPr>
      </w:pPr>
    </w:p>
    <w:p>
      <w:pPr>
        <w:spacing w:line="480" w:lineRule="exact"/>
        <w:rPr>
          <w:rFonts w:hint="eastAsia" w:ascii="宋体"/>
        </w:rPr>
      </w:pPr>
      <w:r>
        <w:rPr>
          <w:rFonts w:hint="eastAsia" w:ascii="宋体"/>
        </w:rPr>
        <w:t xml:space="preserve">    特此承诺！</w:t>
      </w:r>
    </w:p>
    <w:p>
      <w:pPr>
        <w:spacing w:line="480" w:lineRule="exact"/>
        <w:ind w:firstLine="3780" w:firstLineChars="1800"/>
        <w:rPr>
          <w:rFonts w:hint="eastAsia" w:ascii="宋体"/>
        </w:rPr>
      </w:pPr>
    </w:p>
    <w:p>
      <w:pPr>
        <w:spacing w:line="480" w:lineRule="exact"/>
        <w:ind w:firstLine="3780" w:firstLineChars="1800"/>
        <w:rPr>
          <w:rFonts w:hint="eastAsia" w:ascii="宋体"/>
        </w:rPr>
      </w:pPr>
      <w:r>
        <w:rPr>
          <w:rFonts w:hint="eastAsia" w:ascii="宋体"/>
        </w:rPr>
        <w:t>供应商法定名称（公章）；</w:t>
      </w:r>
    </w:p>
    <w:p>
      <w:pPr>
        <w:spacing w:line="480" w:lineRule="exact"/>
        <w:ind w:firstLine="3780" w:firstLineChars="1800"/>
        <w:rPr>
          <w:rFonts w:hint="eastAsia" w:ascii="宋体"/>
        </w:rPr>
      </w:pPr>
      <w:r>
        <w:rPr>
          <w:rFonts w:hint="eastAsia" w:ascii="宋体"/>
        </w:rPr>
        <w:t>供应商法定地址：</w:t>
      </w:r>
    </w:p>
    <w:p>
      <w:pPr>
        <w:spacing w:line="480" w:lineRule="exact"/>
        <w:ind w:firstLine="3780" w:firstLineChars="1800"/>
        <w:rPr>
          <w:rFonts w:hint="eastAsia" w:ascii="宋体"/>
        </w:rPr>
      </w:pPr>
      <w:r>
        <w:rPr>
          <w:rFonts w:hint="eastAsia" w:ascii="宋体"/>
        </w:rPr>
        <w:t>供应商授权代表（签字或盖章）：</w:t>
      </w:r>
    </w:p>
    <w:p>
      <w:pPr>
        <w:spacing w:line="480" w:lineRule="exact"/>
        <w:ind w:firstLine="3780" w:firstLineChars="1800"/>
        <w:rPr>
          <w:rFonts w:hint="eastAsia" w:ascii="宋体"/>
        </w:rPr>
      </w:pPr>
      <w:r>
        <w:rPr>
          <w:rFonts w:hint="eastAsia" w:ascii="宋体"/>
        </w:rPr>
        <w:t>电    话：</w:t>
      </w:r>
    </w:p>
    <w:p>
      <w:pPr>
        <w:spacing w:line="480" w:lineRule="exact"/>
        <w:ind w:firstLine="3780" w:firstLineChars="1800"/>
        <w:rPr>
          <w:rFonts w:hint="eastAsia" w:ascii="宋体"/>
        </w:rPr>
      </w:pPr>
      <w:r>
        <w:rPr>
          <w:rFonts w:hint="eastAsia" w:ascii="宋体"/>
        </w:rPr>
        <w:t>传    真：</w:t>
      </w:r>
    </w:p>
    <w:p>
      <w:pPr>
        <w:spacing w:line="480" w:lineRule="exact"/>
        <w:ind w:firstLine="3780" w:firstLineChars="1800"/>
        <w:rPr>
          <w:rFonts w:hint="eastAsia" w:ascii="宋体"/>
        </w:rPr>
      </w:pPr>
      <w:r>
        <w:rPr>
          <w:rFonts w:hint="eastAsia" w:ascii="宋体"/>
        </w:rPr>
        <w:t>承诺日期：</w:t>
      </w:r>
    </w:p>
    <w:p>
      <w:pPr>
        <w:spacing w:line="360" w:lineRule="auto"/>
        <w:jc w:val="center"/>
        <w:rPr>
          <w:rFonts w:hint="eastAsia"/>
          <w:b/>
          <w:color w:val="FF0000"/>
          <w:sz w:val="28"/>
        </w:rPr>
      </w:pPr>
    </w:p>
    <w:p>
      <w:pPr>
        <w:spacing w:line="360" w:lineRule="auto"/>
        <w:jc w:val="center"/>
        <w:rPr>
          <w:rFonts w:hint="eastAsia"/>
          <w:b/>
          <w:color w:val="FF0000"/>
          <w:sz w:val="28"/>
        </w:rPr>
      </w:pPr>
    </w:p>
    <w:p>
      <w:pPr>
        <w:spacing w:line="360" w:lineRule="auto"/>
        <w:jc w:val="center"/>
        <w:rPr>
          <w:rFonts w:hint="eastAsia"/>
          <w:b/>
          <w:color w:val="FF0000"/>
          <w:sz w:val="28"/>
        </w:rPr>
      </w:pPr>
    </w:p>
    <w:p>
      <w:pPr>
        <w:pStyle w:val="4"/>
        <w:snapToGrid w:val="0"/>
        <w:spacing w:before="0" w:after="0" w:line="360" w:lineRule="auto"/>
        <w:jc w:val="center"/>
        <w:rPr>
          <w:rFonts w:hint="eastAsia"/>
        </w:rPr>
      </w:pPr>
      <w:r>
        <w:rPr>
          <w:b w:val="0"/>
          <w:color w:val="FF0000"/>
          <w:sz w:val="28"/>
        </w:rPr>
        <w:br w:type="page"/>
      </w:r>
      <w:bookmarkStart w:id="89" w:name="_Toc8054338"/>
      <w:bookmarkStart w:id="90" w:name="_Toc92705016"/>
      <w:bookmarkStart w:id="91" w:name="_Toc59631790"/>
      <w:bookmarkStart w:id="92" w:name="_Toc161306892"/>
      <w:r>
        <w:rPr>
          <w:rFonts w:hint="eastAsia" w:ascii="黑体" w:hAnsi="黑体" w:eastAsia="黑体"/>
        </w:rPr>
        <w:t>10、评标优惠政策声明函</w:t>
      </w:r>
      <w:bookmarkEnd w:id="89"/>
      <w:bookmarkEnd w:id="90"/>
      <w:bookmarkEnd w:id="91"/>
      <w:bookmarkEnd w:id="92"/>
    </w:p>
    <w:p>
      <w:pPr>
        <w:pStyle w:val="11"/>
        <w:kinsoku w:val="0"/>
        <w:overflowPunct w:val="0"/>
        <w:spacing w:after="93" w:line="343" w:lineRule="auto"/>
        <w:ind w:left="117" w:firstLine="534"/>
        <w:jc w:val="center"/>
        <w:rPr>
          <w:rFonts w:hint="eastAsia" w:ascii="黑体" w:hAnsi="黑体" w:eastAsia="黑体"/>
          <w:b/>
          <w:spacing w:val="-7"/>
          <w:sz w:val="28"/>
          <w:szCs w:val="28"/>
        </w:rPr>
      </w:pPr>
      <w:bookmarkStart w:id="93" w:name="_Toc92705017"/>
      <w:r>
        <w:rPr>
          <w:rFonts w:hint="eastAsia" w:ascii="黑体" w:hAnsi="黑体" w:eastAsia="黑体"/>
          <w:b/>
          <w:spacing w:val="-7"/>
          <w:sz w:val="28"/>
          <w:szCs w:val="28"/>
        </w:rPr>
        <w:t>中小企业声明函</w:t>
      </w:r>
      <w:bookmarkEnd w:id="93"/>
    </w:p>
    <w:p>
      <w:pPr>
        <w:spacing w:line="360" w:lineRule="auto"/>
        <w:jc w:val="center"/>
        <w:rPr>
          <w:rFonts w:hint="eastAsia"/>
          <w:b/>
          <w:w w:val="95"/>
          <w:sz w:val="24"/>
        </w:rPr>
      </w:pPr>
      <w:r>
        <w:rPr>
          <w:rFonts w:hint="eastAsia"/>
          <w:b/>
          <w:w w:val="95"/>
          <w:sz w:val="24"/>
        </w:rPr>
        <w:t>（如投标人不属于小型、微型企业无须提供）</w:t>
      </w:r>
    </w:p>
    <w:p>
      <w:pPr>
        <w:pStyle w:val="11"/>
        <w:kinsoku w:val="0"/>
        <w:overflowPunct w:val="0"/>
        <w:spacing w:after="93" w:line="343" w:lineRule="auto"/>
        <w:ind w:left="117" w:firstLine="452"/>
        <w:rPr>
          <w:rFonts w:ascii="宋体" w:eastAsia="宋体"/>
          <w:spacing w:val="-7"/>
          <w:szCs w:val="24"/>
        </w:rPr>
      </w:pPr>
      <w:r>
        <w:rPr>
          <w:rFonts w:ascii="宋体" w:eastAsia="宋体"/>
          <w:spacing w:val="-7"/>
          <w:szCs w:val="24"/>
        </w:rPr>
        <w:t>本公司郑重声明，根据《政府采购促进中小企业发展管理办法》（财库﹝2020﹞46号）的规定，本公司参加</w:t>
      </w:r>
      <w:r>
        <w:rPr>
          <w:rFonts w:ascii="宋体" w:eastAsia="宋体"/>
          <w:spacing w:val="-7"/>
          <w:szCs w:val="24"/>
          <w:u w:val="single"/>
        </w:rPr>
        <w:t xml:space="preserve">（采购人名称）  </w:t>
      </w:r>
      <w:r>
        <w:rPr>
          <w:rFonts w:ascii="宋体" w:eastAsia="宋体"/>
          <w:spacing w:val="-7"/>
          <w:szCs w:val="24"/>
        </w:rPr>
        <w:t>的</w:t>
      </w:r>
      <w:r>
        <w:rPr>
          <w:rFonts w:ascii="宋体" w:eastAsia="宋体"/>
          <w:spacing w:val="-7"/>
          <w:szCs w:val="24"/>
          <w:u w:val="single"/>
        </w:rPr>
        <w:t>（项目名称）</w:t>
      </w:r>
      <w:r>
        <w:rPr>
          <w:rFonts w:ascii="宋体" w:eastAsia="宋体"/>
          <w:spacing w:val="-7"/>
          <w:szCs w:val="24"/>
        </w:rPr>
        <w:t>采购活动，工程的施工单位全部为符合政策要求的中小企业（或者：</w:t>
      </w:r>
      <w:r>
        <w:rPr>
          <w:rFonts w:ascii="宋体" w:eastAsia="宋体"/>
          <w:b/>
          <w:spacing w:val="-7"/>
          <w:szCs w:val="24"/>
        </w:rPr>
        <w:t>服务全部由符合政策要求的中小企业承接</w:t>
      </w:r>
      <w:r>
        <w:rPr>
          <w:rFonts w:ascii="宋体" w:eastAsia="宋体"/>
          <w:spacing w:val="-7"/>
          <w:szCs w:val="24"/>
        </w:rPr>
        <w:t>）。相关企业的具体情况如下：</w:t>
      </w:r>
    </w:p>
    <w:p>
      <w:pPr>
        <w:pStyle w:val="11"/>
        <w:kinsoku w:val="0"/>
        <w:overflowPunct w:val="0"/>
        <w:spacing w:after="93" w:line="400" w:lineRule="exact"/>
        <w:ind w:left="119" w:firstLine="452"/>
        <w:rPr>
          <w:rFonts w:ascii="宋体" w:eastAsia="宋体"/>
          <w:spacing w:val="-7"/>
          <w:szCs w:val="24"/>
        </w:rPr>
      </w:pPr>
      <w:r>
        <w:rPr>
          <w:rFonts w:ascii="宋体" w:eastAsia="宋体"/>
          <w:spacing w:val="-7"/>
          <w:szCs w:val="24"/>
        </w:rPr>
        <w:t>1.</w:t>
      </w:r>
      <w:r>
        <w:rPr>
          <w:rFonts w:hint="eastAsia"/>
        </w:rPr>
        <w:t xml:space="preserve"> </w:t>
      </w:r>
      <w:r>
        <w:rPr>
          <w:rFonts w:hint="eastAsia" w:ascii="宋体" w:eastAsia="宋体"/>
          <w:spacing w:val="-7"/>
          <w:szCs w:val="24"/>
          <w:u w:val="single"/>
        </w:rPr>
        <w:t>自助办税终端驻点运维服务</w:t>
      </w:r>
      <w:r>
        <w:rPr>
          <w:rFonts w:ascii="宋体" w:eastAsia="宋体"/>
          <w:spacing w:val="-7"/>
          <w:szCs w:val="24"/>
        </w:rPr>
        <w:t>，属于</w:t>
      </w:r>
      <w:r>
        <w:rPr>
          <w:rFonts w:hint="eastAsia" w:ascii="宋体" w:eastAsia="宋体"/>
          <w:spacing w:val="-7"/>
          <w:szCs w:val="24"/>
          <w:u w:val="single"/>
        </w:rPr>
        <w:t>软件和信息技术服务业</w:t>
      </w:r>
      <w:r>
        <w:rPr>
          <w:rFonts w:ascii="宋体" w:eastAsia="宋体"/>
          <w:spacing w:val="-7"/>
          <w:szCs w:val="24"/>
        </w:rPr>
        <w:t>；承建（承接）企业为</w:t>
      </w:r>
      <w:r>
        <w:rPr>
          <w:rFonts w:ascii="宋体" w:eastAsia="宋体"/>
          <w:spacing w:val="-7"/>
          <w:szCs w:val="24"/>
          <w:u w:val="single"/>
        </w:rPr>
        <w:t xml:space="preserve">      （</w:t>
      </w:r>
      <w:r>
        <w:rPr>
          <w:rFonts w:ascii="宋体" w:eastAsia="宋体"/>
          <w:b/>
          <w:spacing w:val="-7"/>
          <w:szCs w:val="24"/>
          <w:u w:val="single"/>
        </w:rPr>
        <w:t>投标人名称</w:t>
      </w:r>
      <w:r>
        <w:rPr>
          <w:rFonts w:ascii="宋体" w:eastAsia="宋体"/>
          <w:spacing w:val="-7"/>
          <w:szCs w:val="24"/>
          <w:u w:val="single"/>
        </w:rPr>
        <w:t>）</w:t>
      </w:r>
      <w:r>
        <w:rPr>
          <w:rFonts w:ascii="宋体" w:eastAsia="宋体"/>
          <w:spacing w:val="-7"/>
          <w:szCs w:val="24"/>
        </w:rPr>
        <w:t>，从业人员</w:t>
      </w:r>
      <w:r>
        <w:rPr>
          <w:rFonts w:ascii="宋体" w:eastAsia="宋体"/>
          <w:spacing w:val="-7"/>
          <w:szCs w:val="24"/>
          <w:u w:val="single"/>
        </w:rPr>
        <w:t xml:space="preserve"> </w:t>
      </w:r>
      <w:r>
        <w:rPr>
          <w:rFonts w:ascii="宋体" w:eastAsia="宋体"/>
          <w:spacing w:val="-7"/>
          <w:szCs w:val="24"/>
          <w:u w:val="single"/>
        </w:rPr>
        <w:tab/>
      </w:r>
      <w:r>
        <w:rPr>
          <w:rFonts w:ascii="宋体" w:eastAsia="宋体"/>
          <w:spacing w:val="-7"/>
          <w:szCs w:val="24"/>
          <w:u w:val="single"/>
        </w:rPr>
        <w:t xml:space="preserve">  </w:t>
      </w:r>
      <w:r>
        <w:rPr>
          <w:rFonts w:ascii="宋体" w:eastAsia="宋体"/>
          <w:spacing w:val="-7"/>
          <w:szCs w:val="24"/>
        </w:rPr>
        <w:t>人，营业收入为</w:t>
      </w:r>
      <w:r>
        <w:rPr>
          <w:rFonts w:ascii="宋体" w:eastAsia="宋体"/>
          <w:spacing w:val="-7"/>
          <w:szCs w:val="24"/>
          <w:u w:val="single"/>
        </w:rPr>
        <w:t xml:space="preserve"> </w:t>
      </w:r>
      <w:r>
        <w:rPr>
          <w:rFonts w:ascii="宋体" w:eastAsia="宋体"/>
          <w:spacing w:val="-7"/>
          <w:szCs w:val="24"/>
          <w:u w:val="single"/>
        </w:rPr>
        <w:tab/>
      </w:r>
      <w:r>
        <w:rPr>
          <w:rFonts w:ascii="宋体" w:eastAsia="宋体"/>
          <w:spacing w:val="-7"/>
          <w:szCs w:val="24"/>
          <w:u w:val="single"/>
        </w:rPr>
        <w:t xml:space="preserve">   </w:t>
      </w:r>
      <w:r>
        <w:rPr>
          <w:rFonts w:ascii="宋体" w:eastAsia="宋体"/>
          <w:spacing w:val="-7"/>
          <w:szCs w:val="24"/>
        </w:rPr>
        <w:t>万元，资产总额为</w:t>
      </w:r>
      <w:r>
        <w:rPr>
          <w:rFonts w:ascii="宋体" w:eastAsia="宋体"/>
          <w:spacing w:val="-7"/>
          <w:szCs w:val="24"/>
          <w:u w:val="single"/>
        </w:rPr>
        <w:t xml:space="preserve"> </w:t>
      </w:r>
      <w:r>
        <w:rPr>
          <w:rFonts w:ascii="宋体" w:eastAsia="宋体"/>
          <w:spacing w:val="-7"/>
          <w:szCs w:val="24"/>
          <w:u w:val="single"/>
        </w:rPr>
        <w:tab/>
      </w:r>
      <w:r>
        <w:rPr>
          <w:rFonts w:ascii="宋体" w:eastAsia="宋体"/>
          <w:spacing w:val="-7"/>
          <w:szCs w:val="24"/>
          <w:u w:val="single"/>
        </w:rPr>
        <w:t xml:space="preserve">  </w:t>
      </w:r>
      <w:r>
        <w:rPr>
          <w:rFonts w:ascii="宋体" w:eastAsia="宋体"/>
          <w:spacing w:val="-7"/>
          <w:szCs w:val="24"/>
        </w:rPr>
        <w:t>万元，属于</w:t>
      </w:r>
      <w:r>
        <w:rPr>
          <w:rFonts w:ascii="宋体" w:eastAsia="宋体"/>
          <w:spacing w:val="-1"/>
          <w:szCs w:val="24"/>
          <w:u w:val="single"/>
        </w:rPr>
        <w:tab/>
      </w:r>
      <w:r>
        <w:rPr>
          <w:rFonts w:ascii="宋体" w:eastAsia="宋体"/>
          <w:spacing w:val="-1"/>
          <w:szCs w:val="24"/>
          <w:u w:val="single"/>
        </w:rPr>
        <w:t xml:space="preserve">    </w:t>
      </w:r>
      <w:r>
        <w:rPr>
          <w:rFonts w:ascii="宋体" w:eastAsia="宋体"/>
          <w:spacing w:val="-1"/>
          <w:szCs w:val="24"/>
        </w:rPr>
        <w:t>（请填写：中型、小型、微型）企业</w:t>
      </w:r>
      <w:r>
        <w:rPr>
          <w:rFonts w:ascii="宋体" w:eastAsia="宋体"/>
          <w:spacing w:val="-7"/>
          <w:szCs w:val="24"/>
        </w:rPr>
        <w:t>；</w:t>
      </w:r>
    </w:p>
    <w:p>
      <w:pPr>
        <w:pStyle w:val="11"/>
        <w:kinsoku w:val="0"/>
        <w:overflowPunct w:val="0"/>
        <w:spacing w:after="93" w:line="400" w:lineRule="exact"/>
        <w:ind w:left="119" w:firstLine="452"/>
        <w:rPr>
          <w:rFonts w:ascii="宋体" w:eastAsia="宋体"/>
          <w:spacing w:val="-7"/>
          <w:szCs w:val="24"/>
        </w:rPr>
      </w:pPr>
      <w:r>
        <w:rPr>
          <w:rFonts w:ascii="宋体" w:eastAsia="宋体"/>
          <w:spacing w:val="-7"/>
          <w:szCs w:val="24"/>
        </w:rPr>
        <w:t xml:space="preserve">…… </w:t>
      </w:r>
    </w:p>
    <w:p>
      <w:pPr>
        <w:pStyle w:val="11"/>
        <w:kinsoku w:val="0"/>
        <w:overflowPunct w:val="0"/>
        <w:spacing w:after="93" w:line="360" w:lineRule="auto"/>
        <w:ind w:left="119" w:firstLine="452"/>
        <w:rPr>
          <w:rFonts w:ascii="宋体" w:eastAsia="宋体"/>
          <w:spacing w:val="-7"/>
          <w:szCs w:val="24"/>
        </w:rPr>
      </w:pPr>
      <w:r>
        <w:rPr>
          <w:rFonts w:ascii="宋体" w:eastAsia="宋体"/>
          <w:spacing w:val="-7"/>
          <w:szCs w:val="24"/>
        </w:rPr>
        <w:t>以上企业，不属于大企业的分支机构，不存在控股股东为大企业的情形，也不存在与大企业的负责人为同一人的情形。</w:t>
      </w:r>
    </w:p>
    <w:p>
      <w:pPr>
        <w:pStyle w:val="11"/>
        <w:kinsoku w:val="0"/>
        <w:overflowPunct w:val="0"/>
        <w:spacing w:after="93" w:line="400" w:lineRule="exact"/>
        <w:ind w:left="119" w:firstLine="452"/>
        <w:rPr>
          <w:rFonts w:ascii="宋体" w:eastAsia="宋体"/>
          <w:spacing w:val="-7"/>
          <w:szCs w:val="24"/>
        </w:rPr>
      </w:pPr>
      <w:r>
        <w:rPr>
          <w:rFonts w:ascii="宋体" w:eastAsia="宋体"/>
          <w:spacing w:val="-7"/>
          <w:szCs w:val="24"/>
        </w:rPr>
        <w:t>投标人已知悉《政府采购促进中小企业发展管理办法》（财库〔2020〕46 号）、《中小企业划型标准规定》（工信部联企〔2011〕 300 号）、《统计上大中小微型企业划分办法（2017）》等 规定，承诺提供的声明函内容是真实的，并知悉根据《政府采购促进中小企业发展管理办法》（财库〔2020〕46 号）第 二十条规定，供应商按照本办法规定提供声明函内容不实的，属于提供虚假材料谋取中标、成交，依照《政府采购法》 等政府采购有关法律法规规定追究相应责任。</w:t>
      </w:r>
    </w:p>
    <w:p>
      <w:pPr>
        <w:pStyle w:val="11"/>
        <w:kinsoku w:val="0"/>
        <w:overflowPunct w:val="0"/>
        <w:spacing w:after="93" w:line="400" w:lineRule="exact"/>
        <w:ind w:left="119" w:firstLine="452"/>
        <w:rPr>
          <w:rFonts w:ascii="宋体" w:eastAsia="宋体"/>
          <w:spacing w:val="-7"/>
          <w:szCs w:val="28"/>
        </w:rPr>
      </w:pPr>
      <w:r>
        <w:rPr>
          <w:rFonts w:ascii="宋体" w:eastAsia="宋体"/>
          <w:spacing w:val="-7"/>
          <w:szCs w:val="24"/>
        </w:rPr>
        <w:t>本企业对上述声明内容的真实性负责。如有虚假，将依法承担相应责任。</w:t>
      </w:r>
    </w:p>
    <w:p>
      <w:pPr>
        <w:pStyle w:val="11"/>
        <w:kinsoku w:val="0"/>
        <w:overflowPunct w:val="0"/>
        <w:spacing w:before="43" w:after="93" w:line="400" w:lineRule="exact"/>
        <w:ind w:left="3637" w:right="1776" w:firstLine="476"/>
        <w:rPr>
          <w:rFonts w:ascii="宋体" w:eastAsia="宋体"/>
          <w:spacing w:val="-157"/>
          <w:szCs w:val="28"/>
        </w:rPr>
      </w:pPr>
      <w:r>
        <w:rPr>
          <w:rFonts w:ascii="宋体" w:eastAsia="宋体"/>
          <w:spacing w:val="-1"/>
          <w:szCs w:val="28"/>
        </w:rPr>
        <w:t>投标单位名称（公章）：</w:t>
      </w:r>
      <w:r>
        <w:rPr>
          <w:rFonts w:ascii="宋体" w:eastAsia="宋体"/>
          <w:spacing w:val="-157"/>
          <w:szCs w:val="28"/>
        </w:rPr>
        <w:t xml:space="preserve"> </w:t>
      </w:r>
    </w:p>
    <w:p>
      <w:pPr>
        <w:pStyle w:val="11"/>
        <w:kinsoku w:val="0"/>
        <w:overflowPunct w:val="0"/>
        <w:spacing w:after="93" w:line="343" w:lineRule="auto"/>
        <w:ind w:left="118" w:leftChars="56" w:firstLine="4504" w:firstLineChars="1877"/>
        <w:rPr>
          <w:rFonts w:ascii="宋体" w:eastAsia="宋体"/>
          <w:spacing w:val="-7"/>
          <w:szCs w:val="24"/>
        </w:rPr>
      </w:pPr>
      <w:r>
        <w:rPr>
          <w:rFonts w:ascii="宋体" w:eastAsia="宋体"/>
          <w:szCs w:val="28"/>
        </w:rPr>
        <w:t>日</w:t>
      </w:r>
      <w:r>
        <w:rPr>
          <w:rFonts w:ascii="宋体" w:eastAsia="宋体"/>
          <w:spacing w:val="-2"/>
          <w:szCs w:val="28"/>
        </w:rPr>
        <w:t xml:space="preserve"> </w:t>
      </w:r>
      <w:r>
        <w:rPr>
          <w:rFonts w:ascii="宋体" w:eastAsia="宋体"/>
          <w:szCs w:val="28"/>
        </w:rPr>
        <w:t>期：</w:t>
      </w:r>
    </w:p>
    <w:p>
      <w:pPr>
        <w:pStyle w:val="11"/>
        <w:kinsoku w:val="0"/>
        <w:overflowPunct w:val="0"/>
        <w:spacing w:before="43" w:after="93" w:line="343" w:lineRule="auto"/>
        <w:ind w:right="1776" w:firstLine="480"/>
        <w:rPr>
          <w:szCs w:val="24"/>
        </w:rPr>
      </w:pPr>
    </w:p>
    <w:p>
      <w:pPr>
        <w:spacing w:line="220" w:lineRule="atLeast"/>
        <w:rPr>
          <w:rFonts w:ascii="宋体" w:hAnsi="宋体"/>
          <w:b/>
          <w:szCs w:val="21"/>
        </w:rPr>
      </w:pPr>
      <w:r>
        <w:rPr>
          <w:rFonts w:hint="eastAsia" w:ascii="宋体" w:hAnsi="宋体"/>
          <w:b/>
          <w:szCs w:val="21"/>
        </w:rPr>
        <w:t>注：</w:t>
      </w:r>
    </w:p>
    <w:p>
      <w:pPr>
        <w:pStyle w:val="43"/>
        <w:widowControl/>
        <w:numPr>
          <w:ilvl w:val="0"/>
          <w:numId w:val="8"/>
        </w:numPr>
        <w:adjustRightInd w:val="0"/>
        <w:snapToGrid w:val="0"/>
        <w:ind w:firstLineChars="0"/>
        <w:jc w:val="left"/>
        <w:rPr>
          <w:rFonts w:ascii="宋体" w:hAnsi="宋体"/>
          <w:b/>
          <w:szCs w:val="21"/>
        </w:rPr>
      </w:pPr>
      <w:r>
        <w:rPr>
          <w:rFonts w:hint="eastAsia" w:ascii="宋体" w:hAnsi="宋体"/>
          <w:b/>
          <w:szCs w:val="21"/>
        </w:rPr>
        <w:t>根据《政府采购促进中小企业发展管理办法》的规定，工程的施工单位或服务全部由小型或微型企业承建（承接）的，可享受价格评审优惠。</w:t>
      </w:r>
    </w:p>
    <w:p>
      <w:pPr>
        <w:pStyle w:val="43"/>
        <w:widowControl/>
        <w:numPr>
          <w:ilvl w:val="0"/>
          <w:numId w:val="8"/>
        </w:numPr>
        <w:adjustRightInd w:val="0"/>
        <w:snapToGrid w:val="0"/>
        <w:ind w:firstLineChars="0"/>
        <w:jc w:val="left"/>
        <w:rPr>
          <w:rFonts w:ascii="宋体" w:hAnsi="宋体"/>
          <w:b/>
          <w:szCs w:val="21"/>
        </w:rPr>
      </w:pPr>
      <w:r>
        <w:rPr>
          <w:rFonts w:hint="eastAsia" w:ascii="宋体" w:hAnsi="宋体"/>
          <w:b/>
          <w:szCs w:val="21"/>
        </w:rPr>
        <w:t>从业人员、营业收入、资产总额填报上一年度数据，无上一年度数据的新成立企业可不填报。</w:t>
      </w:r>
    </w:p>
    <w:p>
      <w:pPr>
        <w:pStyle w:val="43"/>
        <w:widowControl/>
        <w:numPr>
          <w:ilvl w:val="0"/>
          <w:numId w:val="8"/>
        </w:numPr>
        <w:adjustRightInd w:val="0"/>
        <w:snapToGrid w:val="0"/>
        <w:ind w:firstLineChars="0"/>
        <w:jc w:val="left"/>
        <w:rPr>
          <w:rFonts w:ascii="宋体" w:hAnsi="宋体"/>
          <w:b/>
          <w:szCs w:val="21"/>
        </w:rPr>
      </w:pPr>
      <w:r>
        <w:rPr>
          <w:rFonts w:hint="eastAsia" w:ascii="宋体" w:hAnsi="宋体"/>
          <w:b/>
          <w:szCs w:val="21"/>
        </w:rPr>
        <w:t>该函所指的企业指“指在中华人民共和国境内依法设立的企业”。</w:t>
      </w:r>
    </w:p>
    <w:p>
      <w:pPr>
        <w:pStyle w:val="43"/>
        <w:widowControl/>
        <w:numPr>
          <w:ilvl w:val="0"/>
          <w:numId w:val="8"/>
        </w:numPr>
        <w:adjustRightInd w:val="0"/>
        <w:snapToGrid w:val="0"/>
        <w:ind w:firstLineChars="0"/>
        <w:jc w:val="left"/>
        <w:rPr>
          <w:rFonts w:hint="eastAsia" w:ascii="宋体" w:hAnsi="宋体"/>
          <w:szCs w:val="21"/>
        </w:rPr>
      </w:pPr>
      <w:r>
        <w:rPr>
          <w:rFonts w:hint="eastAsia" w:ascii="宋体" w:hAnsi="宋体"/>
          <w:szCs w:val="21"/>
        </w:rPr>
        <w:t>投标文件中未提供此函或内容填写不完整视为不符合条件。</w:t>
      </w:r>
    </w:p>
    <w:p>
      <w:pPr>
        <w:pStyle w:val="43"/>
        <w:widowControl/>
        <w:numPr>
          <w:ilvl w:val="0"/>
          <w:numId w:val="8"/>
        </w:numPr>
        <w:adjustRightInd w:val="0"/>
        <w:snapToGrid w:val="0"/>
        <w:ind w:firstLineChars="0"/>
        <w:jc w:val="left"/>
        <w:rPr>
          <w:rFonts w:hint="eastAsia" w:ascii="宋体" w:hAnsi="宋体"/>
          <w:szCs w:val="21"/>
        </w:rPr>
      </w:pPr>
      <w:r>
        <w:rPr>
          <w:rFonts w:hint="eastAsia" w:ascii="宋体" w:hAnsi="宋体"/>
          <w:szCs w:val="21"/>
        </w:rPr>
        <w:t>投标人同时为小型、微型企业、监狱企业、残疾人福利性单位任两种或以上情况的，评审中只享受一次价格扣除，不重复进行价格扣除。</w:t>
      </w:r>
    </w:p>
    <w:p>
      <w:pPr>
        <w:pStyle w:val="11"/>
        <w:kinsoku w:val="0"/>
        <w:overflowPunct w:val="0"/>
        <w:spacing w:after="93" w:line="343" w:lineRule="auto"/>
        <w:ind w:left="117" w:firstLine="2520" w:firstLineChars="1050"/>
        <w:rPr>
          <w:rFonts w:hint="eastAsia"/>
        </w:rPr>
      </w:pPr>
      <w:bookmarkStart w:id="94" w:name="_Toc5789825"/>
      <w:bookmarkStart w:id="95" w:name="_Toc7099955"/>
      <w:r>
        <w:rPr>
          <w:color w:val="FF0000"/>
        </w:rPr>
        <w:br w:type="page"/>
      </w:r>
      <w:bookmarkStart w:id="96" w:name="_Toc8054339"/>
      <w:bookmarkStart w:id="97" w:name="_Toc92705018"/>
      <w:r>
        <w:rPr>
          <w:rFonts w:hint="eastAsia" w:ascii="黑体" w:hAnsi="黑体" w:eastAsia="黑体"/>
          <w:b/>
          <w:spacing w:val="-7"/>
          <w:sz w:val="28"/>
          <w:szCs w:val="28"/>
        </w:rPr>
        <w:t>残疾人福利性单位声明函</w:t>
      </w:r>
      <w:bookmarkEnd w:id="94"/>
      <w:bookmarkEnd w:id="95"/>
      <w:bookmarkEnd w:id="96"/>
      <w:bookmarkEnd w:id="97"/>
    </w:p>
    <w:p>
      <w:pPr>
        <w:jc w:val="center"/>
        <w:rPr>
          <w:rFonts w:hint="eastAsia"/>
          <w:b/>
          <w:w w:val="95"/>
          <w:sz w:val="24"/>
        </w:rPr>
      </w:pPr>
      <w:r>
        <w:rPr>
          <w:rFonts w:hint="eastAsia"/>
          <w:b/>
          <w:w w:val="95"/>
          <w:sz w:val="24"/>
        </w:rPr>
        <w:t>（如投标人不属于残疾人福利性单位无须提供）</w:t>
      </w:r>
    </w:p>
    <w:p>
      <w:pPr>
        <w:pStyle w:val="11"/>
        <w:kinsoku w:val="0"/>
        <w:overflowPunct w:val="0"/>
        <w:spacing w:after="93" w:line="355" w:lineRule="auto"/>
        <w:ind w:left="117" w:right="129" w:firstLine="480"/>
        <w:rPr>
          <w:szCs w:val="24"/>
        </w:rPr>
      </w:pPr>
    </w:p>
    <w:p>
      <w:pPr>
        <w:pStyle w:val="11"/>
        <w:kinsoku w:val="0"/>
        <w:overflowPunct w:val="0"/>
        <w:spacing w:after="93" w:line="355" w:lineRule="auto"/>
        <w:ind w:left="117" w:right="129" w:firstLine="480"/>
        <w:rPr>
          <w:rFonts w:ascii="宋体" w:eastAsia="宋体"/>
          <w:szCs w:val="24"/>
        </w:rPr>
      </w:pPr>
      <w:r>
        <w:rPr>
          <w:rFonts w:ascii="宋体" w:eastAsia="宋体"/>
          <w:szCs w:val="24"/>
        </w:rPr>
        <w:t xml:space="preserve">本单位郑重声明，根据《财政部 </w:t>
      </w:r>
      <w:r>
        <w:rPr>
          <w:rFonts w:ascii="宋体" w:eastAsia="宋体"/>
          <w:spacing w:val="7"/>
          <w:szCs w:val="24"/>
        </w:rPr>
        <w:t>民政部</w:t>
      </w:r>
      <w:r>
        <w:rPr>
          <w:rFonts w:ascii="宋体" w:eastAsia="宋体"/>
          <w:spacing w:val="76"/>
          <w:szCs w:val="24"/>
        </w:rPr>
        <w:t xml:space="preserve"> </w:t>
      </w:r>
      <w:r>
        <w:rPr>
          <w:rFonts w:ascii="宋体" w:eastAsia="宋体"/>
          <w:spacing w:val="11"/>
          <w:szCs w:val="24"/>
        </w:rPr>
        <w:t>中国残疾人</w:t>
      </w:r>
      <w:r>
        <w:rPr>
          <w:rFonts w:ascii="宋体" w:eastAsia="宋体"/>
          <w:spacing w:val="6"/>
          <w:szCs w:val="24"/>
        </w:rPr>
        <w:t>联合会关于促进残疾人就业政府采购政策的通知》（财库</w:t>
      </w:r>
      <w:r>
        <w:rPr>
          <w:rFonts w:ascii="宋体" w:eastAsia="宋体"/>
          <w:szCs w:val="24"/>
        </w:rPr>
        <w:t>〔2017〕</w:t>
      </w:r>
      <w:r>
        <w:rPr>
          <w:rFonts w:ascii="宋体" w:eastAsia="宋体"/>
          <w:spacing w:val="-19"/>
          <w:szCs w:val="24"/>
        </w:rPr>
        <w:t xml:space="preserve"> </w:t>
      </w:r>
      <w:r>
        <w:rPr>
          <w:rFonts w:ascii="宋体" w:eastAsia="宋体"/>
          <w:szCs w:val="24"/>
        </w:rPr>
        <w:t>141</w:t>
      </w:r>
      <w:r>
        <w:rPr>
          <w:rFonts w:ascii="宋体" w:eastAsia="宋体"/>
          <w:spacing w:val="-71"/>
          <w:szCs w:val="24"/>
        </w:rPr>
        <w:t xml:space="preserve"> </w:t>
      </w:r>
      <w:r>
        <w:rPr>
          <w:rFonts w:ascii="宋体" w:eastAsia="宋体"/>
          <w:spacing w:val="5"/>
          <w:szCs w:val="24"/>
        </w:rPr>
        <w:t>号）的规定，本单位为符合条件的残疾人福</w:t>
      </w:r>
      <w:r>
        <w:rPr>
          <w:rFonts w:ascii="宋体" w:eastAsia="宋体"/>
          <w:spacing w:val="-157"/>
          <w:szCs w:val="24"/>
        </w:rPr>
        <w:t xml:space="preserve"> </w:t>
      </w:r>
      <w:r>
        <w:rPr>
          <w:rFonts w:ascii="宋体" w:eastAsia="宋体"/>
          <w:szCs w:val="24"/>
        </w:rPr>
        <w:t>利性单位，且本单位参加</w:t>
      </w:r>
      <w:r>
        <w:rPr>
          <w:rFonts w:ascii="宋体" w:eastAsia="宋体"/>
          <w:szCs w:val="24"/>
          <w:u w:val="single"/>
        </w:rPr>
        <w:t>（采购单位名称）</w:t>
      </w:r>
      <w:r>
        <w:rPr>
          <w:rFonts w:ascii="宋体" w:eastAsia="宋体"/>
          <w:szCs w:val="24"/>
        </w:rPr>
        <w:t>_单位的_</w:t>
      </w:r>
      <w:r>
        <w:rPr>
          <w:rFonts w:ascii="宋体" w:eastAsia="宋体"/>
          <w:szCs w:val="24"/>
          <w:u w:val="single"/>
        </w:rPr>
        <w:t>（采</w:t>
      </w:r>
      <w:r>
        <w:rPr>
          <w:rFonts w:ascii="宋体" w:eastAsia="宋体"/>
          <w:spacing w:val="-155"/>
          <w:szCs w:val="24"/>
          <w:u w:val="single"/>
        </w:rPr>
        <w:t xml:space="preserve"> </w:t>
      </w:r>
      <w:r>
        <w:rPr>
          <w:rFonts w:ascii="宋体" w:eastAsia="宋体"/>
          <w:spacing w:val="-6"/>
          <w:szCs w:val="24"/>
          <w:u w:val="single"/>
        </w:rPr>
        <w:t>购项目名称）</w:t>
      </w:r>
      <w:r>
        <w:rPr>
          <w:rFonts w:ascii="宋体" w:eastAsia="宋体"/>
          <w:spacing w:val="-6"/>
          <w:szCs w:val="24"/>
        </w:rPr>
        <w:t>项目采购活动，并提供:</w:t>
      </w:r>
      <w:r>
        <w:rPr>
          <w:rFonts w:ascii="宋体" w:eastAsia="宋体"/>
          <w:szCs w:val="24"/>
        </w:rPr>
        <w:t xml:space="preserve"> </w:t>
      </w:r>
      <w:r>
        <w:rPr>
          <w:rFonts w:ascii="宋体" w:eastAsia="宋体"/>
          <w:spacing w:val="-6"/>
          <w:szCs w:val="24"/>
        </w:rPr>
        <w:t>□ 本单位制造的货物；</w:t>
      </w:r>
      <w:r>
        <w:rPr>
          <w:rFonts w:ascii="宋体" w:eastAsia="宋体"/>
          <w:szCs w:val="24"/>
        </w:rPr>
        <w:t>□ 由本单位承担的工程、提供服务；□ 提供其他残疾人福利</w:t>
      </w:r>
      <w:r>
        <w:rPr>
          <w:rFonts w:ascii="宋体" w:eastAsia="宋体"/>
          <w:spacing w:val="-151"/>
          <w:szCs w:val="24"/>
        </w:rPr>
        <w:t xml:space="preserve"> </w:t>
      </w:r>
      <w:r>
        <w:rPr>
          <w:rFonts w:ascii="宋体" w:eastAsia="宋体"/>
          <w:spacing w:val="-6"/>
          <w:szCs w:val="24"/>
        </w:rPr>
        <w:t>性单位制造的货物（承诺人在 □ 处打√）。本条所称货物是</w:t>
      </w:r>
      <w:r>
        <w:rPr>
          <w:rFonts w:ascii="宋体" w:eastAsia="宋体"/>
          <w:spacing w:val="-150"/>
          <w:szCs w:val="24"/>
        </w:rPr>
        <w:t xml:space="preserve"> </w:t>
      </w:r>
      <w:r>
        <w:rPr>
          <w:rFonts w:ascii="宋体" w:eastAsia="宋体"/>
          <w:spacing w:val="-6"/>
          <w:szCs w:val="24"/>
        </w:rPr>
        <w:t>指单一产品采购项目中的货物，或者非单一产品采购项目中</w:t>
      </w:r>
      <w:r>
        <w:rPr>
          <w:rFonts w:ascii="宋体" w:eastAsia="宋体"/>
          <w:spacing w:val="-149"/>
          <w:szCs w:val="24"/>
        </w:rPr>
        <w:t xml:space="preserve"> </w:t>
      </w:r>
      <w:r>
        <w:rPr>
          <w:rFonts w:ascii="宋体" w:eastAsia="宋体"/>
          <w:spacing w:val="-6"/>
          <w:szCs w:val="24"/>
        </w:rPr>
        <w:t>的核心产品（货物），不包括使用非残疾人福利性单位注册</w:t>
      </w:r>
      <w:r>
        <w:rPr>
          <w:rFonts w:ascii="宋体" w:eastAsia="宋体"/>
          <w:spacing w:val="-150"/>
          <w:szCs w:val="24"/>
        </w:rPr>
        <w:t xml:space="preserve"> </w:t>
      </w:r>
      <w:r>
        <w:rPr>
          <w:rFonts w:ascii="宋体" w:eastAsia="宋体"/>
          <w:szCs w:val="24"/>
        </w:rPr>
        <w:t>商标的货物。</w:t>
      </w:r>
    </w:p>
    <w:p>
      <w:pPr>
        <w:pStyle w:val="11"/>
        <w:kinsoku w:val="0"/>
        <w:overflowPunct w:val="0"/>
        <w:spacing w:before="47" w:after="93" w:line="355" w:lineRule="auto"/>
        <w:ind w:left="117" w:right="129" w:firstLine="504"/>
        <w:rPr>
          <w:rFonts w:ascii="宋体" w:eastAsia="宋体"/>
          <w:szCs w:val="24"/>
        </w:rPr>
      </w:pPr>
      <w:r>
        <w:rPr>
          <w:rFonts w:ascii="宋体" w:eastAsia="宋体"/>
          <w:spacing w:val="6"/>
          <w:szCs w:val="24"/>
        </w:rPr>
        <w:t>本单位对上述声明的真实性负责。如有虚假，将依法</w:t>
      </w:r>
      <w:r>
        <w:rPr>
          <w:rFonts w:ascii="宋体" w:eastAsia="宋体"/>
          <w:spacing w:val="11"/>
          <w:szCs w:val="24"/>
        </w:rPr>
        <w:t>承担相应责任。</w:t>
      </w:r>
    </w:p>
    <w:p>
      <w:pPr>
        <w:pStyle w:val="11"/>
        <w:kinsoku w:val="0"/>
        <w:overflowPunct w:val="0"/>
        <w:spacing w:after="93"/>
        <w:ind w:firstLine="480"/>
        <w:rPr>
          <w:rFonts w:ascii="宋体" w:eastAsia="宋体"/>
          <w:szCs w:val="24"/>
        </w:rPr>
      </w:pPr>
    </w:p>
    <w:p>
      <w:pPr>
        <w:pStyle w:val="11"/>
        <w:kinsoku w:val="0"/>
        <w:overflowPunct w:val="0"/>
        <w:spacing w:after="93"/>
        <w:ind w:firstLine="480"/>
        <w:rPr>
          <w:rFonts w:ascii="宋体" w:eastAsia="宋体"/>
          <w:szCs w:val="24"/>
        </w:rPr>
      </w:pPr>
    </w:p>
    <w:p>
      <w:pPr>
        <w:pStyle w:val="11"/>
        <w:kinsoku w:val="0"/>
        <w:overflowPunct w:val="0"/>
        <w:spacing w:before="5" w:after="93"/>
        <w:ind w:firstLine="480"/>
        <w:rPr>
          <w:rFonts w:ascii="宋体" w:eastAsia="宋体"/>
          <w:szCs w:val="24"/>
        </w:rPr>
      </w:pPr>
    </w:p>
    <w:p>
      <w:pPr>
        <w:pStyle w:val="11"/>
        <w:tabs>
          <w:tab w:val="left" w:pos="4372"/>
        </w:tabs>
        <w:kinsoku w:val="0"/>
        <w:overflowPunct w:val="0"/>
        <w:spacing w:after="93" w:line="355" w:lineRule="auto"/>
        <w:ind w:left="3696" w:right="2087" w:firstLine="0" w:firstLineChars="0"/>
        <w:rPr>
          <w:rFonts w:hint="eastAsia" w:ascii="宋体" w:eastAsia="宋体"/>
          <w:spacing w:val="-9"/>
          <w:szCs w:val="24"/>
        </w:rPr>
      </w:pPr>
      <w:r>
        <w:rPr>
          <w:rFonts w:ascii="宋体" w:eastAsia="宋体"/>
          <w:spacing w:val="-9"/>
          <w:szCs w:val="24"/>
        </w:rPr>
        <w:t>投标单位名称（盖章）</w:t>
      </w:r>
      <w:r>
        <w:rPr>
          <w:rFonts w:hint="eastAsia" w:ascii="宋体" w:eastAsia="宋体"/>
          <w:spacing w:val="-9"/>
          <w:szCs w:val="24"/>
        </w:rPr>
        <w:t>：</w:t>
      </w:r>
    </w:p>
    <w:p>
      <w:pPr>
        <w:pStyle w:val="11"/>
        <w:tabs>
          <w:tab w:val="left" w:pos="4372"/>
        </w:tabs>
        <w:kinsoku w:val="0"/>
        <w:overflowPunct w:val="0"/>
        <w:spacing w:after="93" w:line="355" w:lineRule="auto"/>
        <w:ind w:left="3696" w:right="2087" w:firstLine="0"/>
        <w:rPr>
          <w:rFonts w:ascii="宋体" w:eastAsia="宋体"/>
          <w:szCs w:val="24"/>
        </w:rPr>
      </w:pPr>
      <w:r>
        <w:rPr>
          <w:rFonts w:ascii="宋体" w:eastAsia="宋体"/>
          <w:spacing w:val="-154"/>
          <w:szCs w:val="24"/>
        </w:rPr>
        <w:t xml:space="preserve">                            </w:t>
      </w:r>
      <w:r>
        <w:rPr>
          <w:rFonts w:ascii="宋体" w:eastAsia="宋体"/>
          <w:szCs w:val="24"/>
        </w:rPr>
        <w:t>日</w:t>
      </w:r>
      <w:r>
        <w:rPr>
          <w:rFonts w:ascii="宋体" w:eastAsia="宋体"/>
          <w:szCs w:val="24"/>
        </w:rPr>
        <w:tab/>
      </w:r>
      <w:r>
        <w:rPr>
          <w:rFonts w:ascii="宋体" w:eastAsia="宋体"/>
          <w:spacing w:val="11"/>
          <w:szCs w:val="24"/>
        </w:rPr>
        <w:t>期：</w:t>
      </w:r>
    </w:p>
    <w:p>
      <w:pPr>
        <w:pStyle w:val="11"/>
        <w:tabs>
          <w:tab w:val="left" w:pos="4372"/>
        </w:tabs>
        <w:kinsoku w:val="0"/>
        <w:overflowPunct w:val="0"/>
        <w:spacing w:after="93" w:line="355" w:lineRule="auto"/>
        <w:ind w:right="2087" w:firstLine="480"/>
        <w:rPr>
          <w:szCs w:val="24"/>
        </w:rPr>
      </w:pPr>
    </w:p>
    <w:p>
      <w:pPr>
        <w:rPr>
          <w:rFonts w:hint="eastAsia"/>
        </w:rPr>
      </w:pPr>
    </w:p>
    <w:p>
      <w:pPr>
        <w:rPr>
          <w:rFonts w:hint="eastAsia"/>
        </w:rPr>
      </w:pPr>
    </w:p>
    <w:p>
      <w:pPr>
        <w:rPr>
          <w:rFonts w:hint="eastAsia"/>
        </w:rPr>
      </w:pPr>
    </w:p>
    <w:p>
      <w:pPr>
        <w:rPr>
          <w:rFonts w:hint="eastAsia"/>
        </w:rPr>
      </w:pPr>
      <w:r>
        <w:rPr>
          <w:rFonts w:hint="eastAsia"/>
        </w:rPr>
        <w:t>注：</w:t>
      </w:r>
      <w:r>
        <w:rPr>
          <w:rFonts w:hint="eastAsia"/>
          <w:b/>
          <w:szCs w:val="21"/>
        </w:rPr>
        <w:t>投标人同时为小型、微型企业、监狱企业、残疾人福利性单位任两种或以上情况的，评审中只享受一次价格扣除，不重复进行价格扣除。</w:t>
      </w:r>
    </w:p>
    <w:p>
      <w:pPr>
        <w:spacing w:line="400" w:lineRule="exact"/>
        <w:ind w:firstLine="3219" w:firstLineChars="1450"/>
        <w:rPr>
          <w:rFonts w:hint="eastAsia" w:ascii="宋体" w:hAnsi="宋体"/>
          <w:color w:val="FF0000"/>
          <w:spacing w:val="6"/>
          <w:szCs w:val="21"/>
        </w:rPr>
      </w:pPr>
    </w:p>
    <w:p>
      <w:pPr>
        <w:spacing w:line="400" w:lineRule="exact"/>
        <w:ind w:firstLine="3219" w:firstLineChars="1450"/>
        <w:rPr>
          <w:rFonts w:hint="eastAsia" w:ascii="宋体" w:hAnsi="宋体"/>
          <w:color w:val="FF0000"/>
          <w:spacing w:val="6"/>
          <w:szCs w:val="21"/>
        </w:rPr>
      </w:pPr>
    </w:p>
    <w:p>
      <w:pPr>
        <w:spacing w:line="400" w:lineRule="exact"/>
        <w:ind w:firstLine="3219" w:firstLineChars="1450"/>
        <w:rPr>
          <w:rFonts w:hint="eastAsia" w:ascii="宋体" w:hAnsi="宋体"/>
          <w:color w:val="FF0000"/>
          <w:spacing w:val="6"/>
          <w:szCs w:val="21"/>
        </w:rPr>
      </w:pPr>
    </w:p>
    <w:p>
      <w:pPr>
        <w:spacing w:line="400" w:lineRule="exact"/>
        <w:ind w:firstLine="3219" w:firstLineChars="1450"/>
        <w:rPr>
          <w:rFonts w:hint="eastAsia" w:ascii="宋体" w:hAnsi="宋体"/>
          <w:color w:val="FF0000"/>
          <w:spacing w:val="6"/>
          <w:szCs w:val="21"/>
        </w:rPr>
      </w:pPr>
    </w:p>
    <w:p>
      <w:pPr>
        <w:spacing w:line="400" w:lineRule="exact"/>
        <w:ind w:firstLine="3219" w:firstLineChars="1450"/>
        <w:rPr>
          <w:rFonts w:hint="eastAsia" w:ascii="宋体" w:hAnsi="宋体"/>
          <w:color w:val="FF0000"/>
          <w:spacing w:val="6"/>
          <w:szCs w:val="21"/>
        </w:rPr>
      </w:pPr>
    </w:p>
    <w:p>
      <w:pPr>
        <w:spacing w:line="400" w:lineRule="exact"/>
        <w:ind w:firstLine="3219" w:firstLineChars="1450"/>
        <w:rPr>
          <w:rFonts w:hint="eastAsia" w:ascii="宋体" w:hAnsi="宋体"/>
          <w:color w:val="FF0000"/>
          <w:spacing w:val="6"/>
          <w:szCs w:val="21"/>
        </w:rPr>
      </w:pPr>
    </w:p>
    <w:p>
      <w:pPr>
        <w:pStyle w:val="11"/>
        <w:kinsoku w:val="0"/>
        <w:overflowPunct w:val="0"/>
        <w:spacing w:after="93" w:line="343" w:lineRule="auto"/>
        <w:ind w:left="117" w:firstLine="3000" w:firstLineChars="1250"/>
        <w:rPr>
          <w:rFonts w:hint="eastAsia"/>
        </w:rPr>
      </w:pPr>
      <w:bookmarkStart w:id="98" w:name="_Toc5789826"/>
      <w:bookmarkStart w:id="99" w:name="_Toc7099956"/>
      <w:r>
        <w:rPr>
          <w:color w:val="FF0000"/>
        </w:rPr>
        <w:br w:type="page"/>
      </w:r>
      <w:bookmarkStart w:id="100" w:name="_Toc8054340"/>
      <w:bookmarkStart w:id="101" w:name="_Toc92705019"/>
      <w:r>
        <w:rPr>
          <w:rFonts w:hint="eastAsia" w:ascii="黑体" w:hAnsi="黑体" w:eastAsia="黑体"/>
          <w:b/>
          <w:spacing w:val="-7"/>
          <w:sz w:val="28"/>
          <w:szCs w:val="28"/>
        </w:rPr>
        <w:t>监狱企业声明函</w:t>
      </w:r>
      <w:bookmarkEnd w:id="98"/>
      <w:bookmarkEnd w:id="99"/>
      <w:bookmarkEnd w:id="100"/>
      <w:bookmarkEnd w:id="101"/>
    </w:p>
    <w:p>
      <w:pPr>
        <w:jc w:val="center"/>
        <w:rPr>
          <w:rFonts w:hint="eastAsia"/>
          <w:b/>
          <w:sz w:val="24"/>
        </w:rPr>
      </w:pPr>
      <w:r>
        <w:rPr>
          <w:rFonts w:hint="eastAsia"/>
          <w:b/>
          <w:w w:val="95"/>
          <w:sz w:val="24"/>
        </w:rPr>
        <w:t>（如投标人不属于监狱企业无须提供）</w:t>
      </w:r>
    </w:p>
    <w:p>
      <w:pPr>
        <w:rPr>
          <w:rFonts w:hint="eastAsia"/>
          <w:sz w:val="24"/>
        </w:rPr>
      </w:pPr>
    </w:p>
    <w:p>
      <w:pPr>
        <w:pStyle w:val="11"/>
        <w:kinsoku w:val="0"/>
        <w:overflowPunct w:val="0"/>
        <w:spacing w:after="93" w:line="355" w:lineRule="auto"/>
        <w:ind w:left="118" w:leftChars="56" w:right="266" w:firstLine="524"/>
        <w:rPr>
          <w:rFonts w:hint="eastAsia" w:ascii="宋体" w:eastAsia="宋体"/>
          <w:szCs w:val="24"/>
        </w:rPr>
      </w:pPr>
      <w:r>
        <w:rPr>
          <w:rFonts w:ascii="宋体" w:eastAsia="宋体"/>
          <w:spacing w:val="11"/>
          <w:szCs w:val="24"/>
        </w:rPr>
        <w:t>本单位郑重声明，根据《财政部</w:t>
      </w:r>
      <w:r>
        <w:rPr>
          <w:rFonts w:ascii="宋体" w:eastAsia="宋体"/>
          <w:spacing w:val="54"/>
          <w:szCs w:val="24"/>
        </w:rPr>
        <w:t xml:space="preserve"> </w:t>
      </w:r>
      <w:r>
        <w:rPr>
          <w:rFonts w:ascii="宋体" w:eastAsia="宋体"/>
          <w:spacing w:val="12"/>
          <w:szCs w:val="24"/>
        </w:rPr>
        <w:t>司法部关于政府采</w:t>
      </w:r>
      <w:r>
        <w:rPr>
          <w:rFonts w:ascii="宋体" w:eastAsia="宋体"/>
          <w:spacing w:val="5"/>
          <w:szCs w:val="24"/>
        </w:rPr>
        <w:t>购支持监狱企业发展有关问题的通知》（财库〔2014〕68</w:t>
      </w:r>
      <w:r>
        <w:rPr>
          <w:rFonts w:ascii="宋体" w:eastAsia="宋体"/>
          <w:spacing w:val="-122"/>
          <w:szCs w:val="24"/>
        </w:rPr>
        <w:t xml:space="preserve"> </w:t>
      </w:r>
      <w:r>
        <w:rPr>
          <w:rFonts w:ascii="宋体" w:eastAsia="宋体"/>
          <w:spacing w:val="6"/>
          <w:szCs w:val="24"/>
        </w:rPr>
        <w:t>号）的规定，本单位为符合条件的监狱企业，且本单位参</w:t>
      </w:r>
      <w:r>
        <w:rPr>
          <w:rFonts w:ascii="宋体" w:eastAsia="宋体"/>
          <w:spacing w:val="-133"/>
          <w:szCs w:val="24"/>
        </w:rPr>
        <w:t xml:space="preserve"> </w:t>
      </w:r>
      <w:r>
        <w:rPr>
          <w:rFonts w:ascii="宋体" w:eastAsia="宋体"/>
          <w:spacing w:val="6"/>
          <w:szCs w:val="24"/>
        </w:rPr>
        <w:t>加</w:t>
      </w:r>
      <w:r>
        <w:rPr>
          <w:rFonts w:ascii="宋体" w:eastAsia="宋体"/>
          <w:spacing w:val="6"/>
          <w:szCs w:val="24"/>
          <w:u w:val="single"/>
        </w:rPr>
        <w:t>（采购单位名称）</w:t>
      </w:r>
      <w:r>
        <w:rPr>
          <w:rFonts w:ascii="宋体" w:eastAsia="宋体"/>
          <w:spacing w:val="6"/>
          <w:szCs w:val="24"/>
        </w:rPr>
        <w:t>单位的</w:t>
      </w:r>
      <w:r>
        <w:rPr>
          <w:rFonts w:ascii="宋体" w:eastAsia="宋体"/>
          <w:spacing w:val="6"/>
          <w:szCs w:val="24"/>
          <w:u w:val="single"/>
        </w:rPr>
        <w:t>（采购项目名称）</w:t>
      </w:r>
      <w:r>
        <w:rPr>
          <w:rFonts w:ascii="宋体" w:eastAsia="宋体"/>
          <w:spacing w:val="6"/>
          <w:szCs w:val="24"/>
        </w:rPr>
        <w:t>项目采购</w:t>
      </w:r>
      <w:r>
        <w:rPr>
          <w:rFonts w:ascii="宋体" w:eastAsia="宋体"/>
          <w:spacing w:val="-142"/>
          <w:szCs w:val="24"/>
        </w:rPr>
        <w:t xml:space="preserve"> </w:t>
      </w:r>
      <w:r>
        <w:rPr>
          <w:rFonts w:ascii="宋体" w:eastAsia="宋体"/>
          <w:spacing w:val="7"/>
          <w:szCs w:val="24"/>
        </w:rPr>
        <w:t>活动，并提供:□ 本单位制造的货物；□ 由本单位承担的工</w:t>
      </w:r>
      <w:r>
        <w:rPr>
          <w:rFonts w:ascii="宋体" w:eastAsia="宋体"/>
          <w:spacing w:val="-151"/>
          <w:szCs w:val="24"/>
        </w:rPr>
        <w:t xml:space="preserve"> </w:t>
      </w:r>
      <w:r>
        <w:rPr>
          <w:rFonts w:ascii="宋体" w:eastAsia="宋体"/>
          <w:szCs w:val="24"/>
        </w:rPr>
        <w:t xml:space="preserve">程、提供服务；□ 提供其他监狱企业制造的货物（承诺人在 </w:t>
      </w:r>
      <w:r>
        <w:rPr>
          <w:rFonts w:ascii="宋体" w:eastAsia="宋体"/>
          <w:spacing w:val="-12"/>
          <w:szCs w:val="24"/>
        </w:rPr>
        <w:t>□ 处打√）。本条所称货物是指单一产品采购项目中的货物，</w:t>
      </w:r>
      <w:r>
        <w:rPr>
          <w:rFonts w:ascii="宋体" w:eastAsia="宋体"/>
          <w:spacing w:val="-141"/>
          <w:szCs w:val="24"/>
        </w:rPr>
        <w:t xml:space="preserve"> </w:t>
      </w:r>
      <w:r>
        <w:rPr>
          <w:rFonts w:ascii="宋体" w:eastAsia="宋体"/>
          <w:szCs w:val="24"/>
        </w:rPr>
        <w:t>或者非单一产品采购项目中的核心产品（货物）。</w:t>
      </w:r>
    </w:p>
    <w:p>
      <w:pPr>
        <w:pStyle w:val="11"/>
        <w:kinsoku w:val="0"/>
        <w:overflowPunct w:val="0"/>
        <w:spacing w:after="93" w:line="355" w:lineRule="auto"/>
        <w:ind w:left="118" w:leftChars="56" w:right="266" w:firstLine="504"/>
        <w:rPr>
          <w:rFonts w:ascii="宋体" w:eastAsia="宋体"/>
          <w:szCs w:val="24"/>
        </w:rPr>
      </w:pPr>
      <w:r>
        <w:rPr>
          <w:rFonts w:ascii="宋体" w:eastAsia="宋体"/>
          <w:spacing w:val="6"/>
          <w:szCs w:val="24"/>
        </w:rPr>
        <w:t>本单位对上述声明的真实性负责。如有虚假，将依法</w:t>
      </w:r>
      <w:r>
        <w:rPr>
          <w:rFonts w:ascii="宋体" w:eastAsia="宋体"/>
          <w:spacing w:val="11"/>
          <w:szCs w:val="24"/>
        </w:rPr>
        <w:t>承担相应责任。</w:t>
      </w:r>
    </w:p>
    <w:p>
      <w:pPr>
        <w:pStyle w:val="11"/>
        <w:kinsoku w:val="0"/>
        <w:overflowPunct w:val="0"/>
        <w:spacing w:before="47" w:after="93" w:line="355" w:lineRule="auto"/>
        <w:ind w:left="118" w:leftChars="56" w:right="271" w:firstLine="496" w:firstLineChars="196"/>
        <w:rPr>
          <w:rFonts w:ascii="宋体" w:eastAsia="宋体"/>
          <w:b/>
          <w:szCs w:val="24"/>
        </w:rPr>
      </w:pPr>
      <w:r>
        <w:rPr>
          <w:rFonts w:ascii="宋体" w:eastAsia="宋体"/>
          <w:b/>
          <w:spacing w:val="6"/>
          <w:szCs w:val="24"/>
        </w:rPr>
        <w:t>附：省级以上监狱管理局、戒毒管理局（含新疆生产</w:t>
      </w:r>
      <w:r>
        <w:rPr>
          <w:rFonts w:ascii="宋体" w:eastAsia="宋体"/>
          <w:b/>
          <w:spacing w:val="11"/>
          <w:szCs w:val="24"/>
        </w:rPr>
        <w:t>建设兵团）出具的监狱企业证明文件。</w:t>
      </w:r>
    </w:p>
    <w:p>
      <w:pPr>
        <w:pStyle w:val="11"/>
        <w:kinsoku w:val="0"/>
        <w:overflowPunct w:val="0"/>
        <w:spacing w:after="93"/>
        <w:ind w:firstLine="480"/>
        <w:rPr>
          <w:rFonts w:ascii="宋体" w:eastAsia="宋体"/>
          <w:szCs w:val="24"/>
        </w:rPr>
      </w:pPr>
    </w:p>
    <w:p>
      <w:pPr>
        <w:pStyle w:val="11"/>
        <w:tabs>
          <w:tab w:val="left" w:pos="4372"/>
        </w:tabs>
        <w:kinsoku w:val="0"/>
        <w:overflowPunct w:val="0"/>
        <w:spacing w:before="233" w:after="93" w:line="276" w:lineRule="auto"/>
        <w:ind w:left="3696" w:right="2127" w:firstLine="0" w:firstLineChars="0"/>
        <w:rPr>
          <w:rFonts w:ascii="宋体" w:eastAsia="宋体"/>
          <w:spacing w:val="-9"/>
          <w:szCs w:val="24"/>
        </w:rPr>
      </w:pPr>
      <w:r>
        <w:rPr>
          <w:rFonts w:ascii="宋体" w:eastAsia="宋体"/>
          <w:spacing w:val="-9"/>
          <w:szCs w:val="24"/>
        </w:rPr>
        <w:t>投标单位名称（盖章）：</w:t>
      </w:r>
    </w:p>
    <w:p>
      <w:pPr>
        <w:pStyle w:val="11"/>
        <w:tabs>
          <w:tab w:val="left" w:pos="4372"/>
        </w:tabs>
        <w:kinsoku w:val="0"/>
        <w:overflowPunct w:val="0"/>
        <w:spacing w:before="233" w:after="93" w:line="276" w:lineRule="auto"/>
        <w:ind w:left="3696" w:right="2127" w:firstLine="0"/>
        <w:rPr>
          <w:rFonts w:ascii="宋体" w:eastAsia="宋体"/>
          <w:szCs w:val="24"/>
        </w:rPr>
      </w:pPr>
      <w:r>
        <w:rPr>
          <w:rFonts w:ascii="宋体" w:eastAsia="宋体"/>
          <w:spacing w:val="-154"/>
          <w:szCs w:val="24"/>
        </w:rPr>
        <w:t xml:space="preserve"> </w:t>
      </w:r>
      <w:r>
        <w:rPr>
          <w:rFonts w:ascii="宋体" w:eastAsia="宋体"/>
          <w:szCs w:val="24"/>
        </w:rPr>
        <w:t>日</w:t>
      </w:r>
      <w:r>
        <w:rPr>
          <w:rFonts w:ascii="宋体" w:eastAsia="宋体"/>
          <w:szCs w:val="24"/>
        </w:rPr>
        <w:tab/>
      </w:r>
      <w:r>
        <w:rPr>
          <w:rFonts w:ascii="宋体" w:eastAsia="宋体"/>
          <w:spacing w:val="11"/>
          <w:szCs w:val="24"/>
        </w:rPr>
        <w:t>期：</w:t>
      </w:r>
    </w:p>
    <w:p>
      <w:pPr>
        <w:spacing w:line="360" w:lineRule="auto"/>
        <w:rPr>
          <w:rFonts w:hint="eastAsia"/>
          <w:b/>
          <w:sz w:val="28"/>
        </w:rPr>
      </w:pPr>
      <w:r>
        <w:rPr>
          <w:rFonts w:hint="eastAsia"/>
        </w:rPr>
        <w:t>注：</w:t>
      </w:r>
      <w:r>
        <w:rPr>
          <w:rFonts w:hint="eastAsia"/>
          <w:b/>
          <w:szCs w:val="21"/>
        </w:rPr>
        <w:t>投标人同时为小型、微型企业、监狱企业、残疾人福利性单位任两种或以上情况的，评审中只享受一次价格扣除，不重复进行价格扣除。</w:t>
      </w:r>
    </w:p>
    <w:p>
      <w:pPr>
        <w:spacing w:line="360" w:lineRule="auto"/>
        <w:jc w:val="center"/>
        <w:rPr>
          <w:rFonts w:hint="eastAsia"/>
          <w:b/>
          <w:sz w:val="28"/>
        </w:rPr>
      </w:pPr>
    </w:p>
    <w:p>
      <w:pPr>
        <w:spacing w:line="360" w:lineRule="auto"/>
        <w:jc w:val="left"/>
        <w:rPr>
          <w:rFonts w:hint="eastAsia"/>
          <w:b/>
          <w:sz w:val="24"/>
        </w:rPr>
      </w:pPr>
      <w:r>
        <w:rPr>
          <w:rFonts w:hint="eastAsia"/>
          <w:b/>
          <w:sz w:val="28"/>
        </w:rPr>
        <w:t>附：</w:t>
      </w:r>
    </w:p>
    <w:p>
      <w:pPr>
        <w:widowControl/>
        <w:spacing w:line="330" w:lineRule="atLeast"/>
        <w:jc w:val="center"/>
        <w:rPr>
          <w:rFonts w:ascii="宋体" w:hAnsi="宋体" w:cs="宋体"/>
          <w:b/>
          <w:bCs/>
          <w:kern w:val="0"/>
          <w:sz w:val="28"/>
          <w:szCs w:val="28"/>
        </w:rPr>
      </w:pPr>
      <w:r>
        <w:rPr>
          <w:rFonts w:hint="eastAsia" w:ascii="宋体" w:hAnsi="宋体" w:cs="宋体"/>
          <w:b/>
          <w:bCs/>
          <w:kern w:val="0"/>
          <w:sz w:val="28"/>
          <w:szCs w:val="28"/>
        </w:rPr>
        <w:t>统计上大中小微型企业划分标准</w:t>
      </w:r>
    </w:p>
    <w:tbl>
      <w:tblPr>
        <w:tblStyle w:val="26"/>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wBefore w:w="0" w:type="dxa"/>
          <w:wAfter w:w="0" w:type="dxa"/>
          <w:trHeight w:val="622" w:hRule="exact"/>
          <w:jc w:val="center"/>
        </w:trPr>
        <w:tc>
          <w:tcPr>
            <w:tcW w:w="21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行业名称</w:t>
            </w:r>
          </w:p>
        </w:tc>
        <w:tc>
          <w:tcPr>
            <w:tcW w:w="136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指标名称</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计量</w:t>
            </w:r>
            <w:r>
              <w:rPr>
                <w:rFonts w:hint="eastAsia" w:ascii="宋体" w:hAnsi="宋体" w:cs="宋体"/>
                <w:b/>
                <w:bCs/>
                <w:kern w:val="0"/>
                <w:sz w:val="18"/>
                <w:szCs w:val="18"/>
              </w:rPr>
              <w:br w:type="textWrapping"/>
            </w:r>
            <w:r>
              <w:rPr>
                <w:rFonts w:hint="eastAsia" w:ascii="宋体" w:hAnsi="宋体" w:cs="宋体"/>
                <w:b/>
                <w:bCs/>
                <w:kern w:val="0"/>
                <w:sz w:val="18"/>
                <w:szCs w:val="18"/>
              </w:rPr>
              <w:t>单位</w:t>
            </w:r>
          </w:p>
        </w:tc>
        <w:tc>
          <w:tcPr>
            <w:tcW w:w="112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大型</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中型</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小型</w:t>
            </w:r>
          </w:p>
        </w:tc>
        <w:tc>
          <w:tcPr>
            <w:tcW w:w="992" w:type="dxa"/>
            <w:tcBorders>
              <w:top w:val="single" w:color="auto" w:sz="4" w:space="0"/>
              <w:left w:val="nil"/>
              <w:bottom w:val="single" w:color="auto" w:sz="4" w:space="0"/>
              <w:right w:val="nil"/>
            </w:tcBorders>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微型</w:t>
            </w:r>
          </w:p>
        </w:tc>
      </w:tr>
      <w:tr>
        <w:tblPrEx>
          <w:tblCellMar>
            <w:top w:w="0" w:type="dxa"/>
            <w:left w:w="108" w:type="dxa"/>
            <w:bottom w:w="0" w:type="dxa"/>
            <w:right w:w="108" w:type="dxa"/>
          </w:tblCellMar>
        </w:tblPrEx>
        <w:trPr>
          <w:wBefore w:w="0" w:type="dxa"/>
          <w:wAfter w:w="0" w:type="dxa"/>
          <w:trHeight w:val="340" w:hRule="exact"/>
          <w:jc w:val="center"/>
        </w:trPr>
        <w:tc>
          <w:tcPr>
            <w:tcW w:w="2113"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pacing w:val="-12"/>
                <w:kern w:val="0"/>
                <w:sz w:val="18"/>
                <w:szCs w:val="18"/>
              </w:rPr>
            </w:pPr>
            <w:r>
              <w:rPr>
                <w:rFonts w:hint="eastAsia" w:ascii="宋体" w:hAnsi="宋体" w:cs="宋体"/>
                <w:spacing w:val="-12"/>
                <w:kern w:val="0"/>
                <w:sz w:val="18"/>
                <w:szCs w:val="18"/>
              </w:rPr>
              <w:t>软件和信息技术服</w:t>
            </w:r>
            <w:r>
              <w:rPr>
                <w:rFonts w:hint="eastAsia" w:ascii="宋体" w:hAnsi="宋体" w:cs="宋体"/>
                <w:kern w:val="0"/>
                <w:sz w:val="18"/>
                <w:szCs w:val="18"/>
              </w:rPr>
              <w:t>务业</w:t>
            </w:r>
          </w:p>
        </w:tc>
        <w:tc>
          <w:tcPr>
            <w:tcW w:w="1369"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709"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125"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X≥300</w:t>
            </w:r>
          </w:p>
        </w:tc>
        <w:tc>
          <w:tcPr>
            <w:tcW w:w="1701" w:type="dxa"/>
            <w:tcBorders>
              <w:top w:val="nil"/>
              <w:left w:val="nil"/>
              <w:bottom w:val="nil"/>
              <w:right w:val="single" w:color="auto" w:sz="4" w:space="0"/>
            </w:tcBorders>
            <w:noWrap w:val="0"/>
            <w:vAlign w:val="center"/>
          </w:tcPr>
          <w:p>
            <w:pPr>
              <w:widowControl/>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26"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10≤X＜100</w:t>
            </w:r>
          </w:p>
        </w:tc>
        <w:tc>
          <w:tcPr>
            <w:tcW w:w="992" w:type="dxa"/>
            <w:tcBorders>
              <w:top w:val="nil"/>
              <w:left w:val="nil"/>
              <w:bottom w:val="nil"/>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X＜10</w:t>
            </w:r>
          </w:p>
        </w:tc>
      </w:tr>
      <w:tr>
        <w:tblPrEx>
          <w:tblCellMar>
            <w:top w:w="0" w:type="dxa"/>
            <w:left w:w="108" w:type="dxa"/>
            <w:bottom w:w="0" w:type="dxa"/>
            <w:right w:w="108" w:type="dxa"/>
          </w:tblCellMar>
        </w:tblPrEx>
        <w:trPr>
          <w:wBefore w:w="0" w:type="dxa"/>
          <w:wAfter w:w="0" w:type="dxa"/>
          <w:trHeight w:val="340" w:hRule="exact"/>
          <w:jc w:val="center"/>
        </w:trPr>
        <w:tc>
          <w:tcPr>
            <w:tcW w:w="211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spacing w:val="-12"/>
                <w:kern w:val="0"/>
                <w:sz w:val="18"/>
                <w:szCs w:val="18"/>
              </w:rPr>
            </w:pPr>
          </w:p>
        </w:tc>
        <w:tc>
          <w:tcPr>
            <w:tcW w:w="136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12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Y≥10000</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1000≤Y＜10000</w:t>
            </w:r>
          </w:p>
        </w:tc>
        <w:tc>
          <w:tcPr>
            <w:tcW w:w="142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50≤Y＜1000</w:t>
            </w:r>
          </w:p>
        </w:tc>
        <w:tc>
          <w:tcPr>
            <w:tcW w:w="992" w:type="dxa"/>
            <w:tcBorders>
              <w:top w:val="nil"/>
              <w:left w:val="nil"/>
              <w:bottom w:val="single" w:color="auto" w:sz="4" w:space="0"/>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Y＜50</w:t>
            </w:r>
          </w:p>
        </w:tc>
      </w:tr>
    </w:tbl>
    <w:p>
      <w:pPr>
        <w:spacing w:line="360" w:lineRule="auto"/>
        <w:jc w:val="center"/>
        <w:rPr>
          <w:rFonts w:hint="eastAsia"/>
          <w:b/>
          <w:sz w:val="28"/>
        </w:rPr>
      </w:pPr>
    </w:p>
    <w:p>
      <w:pPr>
        <w:pStyle w:val="4"/>
        <w:snapToGrid w:val="0"/>
        <w:spacing w:before="0" w:after="0" w:line="360" w:lineRule="auto"/>
        <w:jc w:val="center"/>
        <w:rPr>
          <w:rFonts w:hint="eastAsia" w:ascii="黑体" w:hAnsi="黑体" w:eastAsia="黑体"/>
          <w:b w:val="0"/>
        </w:rPr>
      </w:pPr>
      <w:bookmarkStart w:id="102" w:name="_Toc329332001"/>
      <w:r>
        <w:rPr>
          <w:rFonts w:ascii="黑体" w:hAnsi="黑体" w:eastAsia="黑体"/>
          <w:b w:val="0"/>
        </w:rPr>
        <w:br w:type="page"/>
      </w:r>
      <w:bookmarkStart w:id="103" w:name="_Toc161306893"/>
      <w:r>
        <w:rPr>
          <w:rFonts w:hint="eastAsia" w:ascii="黑体" w:hAnsi="黑体" w:eastAsia="黑体"/>
        </w:rPr>
        <w:t>11、按《竞争性磋商文件》的要求，提供的其他有关文件</w:t>
      </w:r>
      <w:bookmarkEnd w:id="102"/>
      <w:bookmarkEnd w:id="103"/>
    </w:p>
    <w:p>
      <w:pPr>
        <w:spacing w:line="400" w:lineRule="exact"/>
        <w:jc w:val="center"/>
        <w:rPr>
          <w:rFonts w:hint="eastAsia" w:ascii="宋体" w:hAnsi="宋体"/>
          <w:b/>
          <w:szCs w:val="21"/>
        </w:rPr>
      </w:pPr>
      <w:r>
        <w:rPr>
          <w:rFonts w:hint="eastAsia" w:ascii="宋体" w:hAnsi="宋体"/>
          <w:szCs w:val="21"/>
        </w:rPr>
        <w:t>本章节格式由供应商自行设定。</w:t>
      </w:r>
      <w:r>
        <w:rPr>
          <w:rFonts w:hint="eastAsia" w:ascii="宋体" w:hAnsi="宋体"/>
          <w:b/>
          <w:szCs w:val="21"/>
        </w:rPr>
        <w:t>（如有）</w:t>
      </w:r>
    </w:p>
    <w:p>
      <w:pPr>
        <w:spacing w:line="400" w:lineRule="exact"/>
        <w:jc w:val="center"/>
        <w:rPr>
          <w:rFonts w:hint="eastAsia" w:ascii="宋体" w:hAnsi="宋体"/>
          <w:szCs w:val="21"/>
        </w:rPr>
      </w:pPr>
      <w:r>
        <w:rPr>
          <w:rFonts w:hint="eastAsia" w:ascii="宋体" w:hAnsi="宋体"/>
          <w:szCs w:val="21"/>
        </w:rPr>
        <w:t xml:space="preserve"> </w:t>
      </w:r>
    </w:p>
    <w:p>
      <w:pPr>
        <w:spacing w:line="360" w:lineRule="auto"/>
        <w:jc w:val="center"/>
        <w:rPr>
          <w:rFonts w:hint="eastAsia"/>
          <w:b/>
          <w:sz w:val="28"/>
        </w:rPr>
      </w:pPr>
    </w:p>
    <w:p>
      <w:pPr>
        <w:spacing w:line="360" w:lineRule="auto"/>
        <w:jc w:val="center"/>
        <w:rPr>
          <w:rFonts w:hint="eastAsia"/>
          <w:b/>
          <w:sz w:val="28"/>
        </w:rPr>
      </w:pPr>
    </w:p>
    <w:p>
      <w:pPr>
        <w:spacing w:line="360" w:lineRule="auto"/>
        <w:jc w:val="center"/>
        <w:rPr>
          <w:rFonts w:hint="eastAsia"/>
          <w:b/>
          <w:sz w:val="28"/>
        </w:rPr>
      </w:pPr>
    </w:p>
    <w:p>
      <w:pPr>
        <w:spacing w:line="360" w:lineRule="auto"/>
        <w:jc w:val="center"/>
        <w:rPr>
          <w:rFonts w:hint="eastAsia"/>
          <w:b/>
          <w:sz w:val="28"/>
        </w:rPr>
      </w:pPr>
    </w:p>
    <w:p>
      <w:pPr>
        <w:spacing w:line="360" w:lineRule="auto"/>
        <w:jc w:val="center"/>
        <w:rPr>
          <w:rFonts w:hint="eastAsia"/>
          <w:b/>
          <w:sz w:val="28"/>
        </w:rPr>
      </w:pPr>
    </w:p>
    <w:p>
      <w:pPr>
        <w:spacing w:line="360" w:lineRule="auto"/>
        <w:jc w:val="center"/>
        <w:rPr>
          <w:rFonts w:hint="eastAsia"/>
          <w:b/>
          <w:sz w:val="28"/>
        </w:rPr>
      </w:pPr>
    </w:p>
    <w:p>
      <w:pPr>
        <w:spacing w:line="360" w:lineRule="auto"/>
        <w:jc w:val="center"/>
        <w:rPr>
          <w:rFonts w:hint="eastAsia"/>
          <w:b/>
          <w:sz w:val="28"/>
        </w:rPr>
      </w:pPr>
    </w:p>
    <w:p>
      <w:pPr>
        <w:spacing w:line="360" w:lineRule="auto"/>
        <w:jc w:val="center"/>
        <w:rPr>
          <w:rFonts w:hint="eastAsia"/>
          <w:b/>
          <w:sz w:val="28"/>
        </w:rPr>
      </w:pPr>
    </w:p>
    <w:p>
      <w:pPr>
        <w:spacing w:line="360" w:lineRule="auto"/>
        <w:jc w:val="center"/>
        <w:rPr>
          <w:rFonts w:hint="eastAsia"/>
          <w:b/>
          <w:sz w:val="28"/>
        </w:rPr>
      </w:pPr>
    </w:p>
    <w:p>
      <w:pPr>
        <w:spacing w:line="360" w:lineRule="auto"/>
        <w:jc w:val="center"/>
        <w:rPr>
          <w:rFonts w:hint="eastAsia"/>
          <w:b/>
          <w:sz w:val="28"/>
        </w:rPr>
      </w:pPr>
    </w:p>
    <w:p>
      <w:pPr>
        <w:spacing w:line="360" w:lineRule="auto"/>
        <w:rPr>
          <w:rFonts w:hint="eastAsia"/>
          <w:b/>
          <w:sz w:val="28"/>
        </w:rPr>
      </w:pPr>
    </w:p>
    <w:p>
      <w:pPr>
        <w:pStyle w:val="4"/>
        <w:snapToGrid w:val="0"/>
        <w:spacing w:before="0" w:after="0" w:line="360" w:lineRule="auto"/>
        <w:jc w:val="center"/>
        <w:rPr>
          <w:rFonts w:hint="eastAsia" w:ascii="黑体" w:hAnsi="黑体" w:eastAsia="黑体"/>
          <w:b w:val="0"/>
        </w:rPr>
      </w:pPr>
      <w:r>
        <w:rPr>
          <w:rFonts w:ascii="黑体" w:hAnsi="黑体" w:eastAsia="黑体"/>
          <w:b w:val="0"/>
        </w:rPr>
        <w:br w:type="page"/>
      </w:r>
      <w:bookmarkStart w:id="104" w:name="_Toc161306894"/>
      <w:r>
        <w:rPr>
          <w:rFonts w:hint="eastAsia" w:ascii="黑体" w:hAnsi="黑体" w:eastAsia="黑体"/>
        </w:rPr>
        <w:t>12、第二轮</w:t>
      </w:r>
      <w:r>
        <w:rPr>
          <w:rFonts w:ascii="黑体" w:hAnsi="黑体" w:eastAsia="黑体"/>
        </w:rPr>
        <w:t>报价及承诺一览表</w:t>
      </w:r>
      <w:bookmarkEnd w:id="104"/>
    </w:p>
    <w:p>
      <w:pPr>
        <w:jc w:val="center"/>
        <w:rPr>
          <w:rFonts w:hint="eastAsia" w:ascii="宋体" w:hAnsi="宋体"/>
          <w:bCs/>
          <w:szCs w:val="36"/>
        </w:rPr>
      </w:pPr>
      <w:r>
        <w:rPr>
          <w:rFonts w:hint="eastAsia" w:ascii="宋体" w:hAnsi="宋体"/>
          <w:bCs/>
          <w:szCs w:val="36"/>
        </w:rPr>
        <w:t>（本表在磋商后由招标机构提供）</w:t>
      </w:r>
    </w:p>
    <w:p>
      <w:pPr>
        <w:spacing w:line="360" w:lineRule="auto"/>
        <w:rPr>
          <w:rFonts w:hint="eastAsia" w:ascii="宋体" w:hAnsi="宋体"/>
        </w:rPr>
      </w:pPr>
      <w:r>
        <w:rPr>
          <w:rFonts w:hint="eastAsia" w:ascii="宋体" w:hAnsi="宋体"/>
          <w:b/>
        </w:rPr>
        <w:t>供应商名称：</w:t>
      </w:r>
      <w:r>
        <w:rPr>
          <w:rFonts w:hint="eastAsia" w:ascii="宋体" w:hAnsi="宋体"/>
          <w:u w:val="single"/>
        </w:rPr>
        <w:t xml:space="preserve">                                </w:t>
      </w:r>
      <w:r>
        <w:rPr>
          <w:rFonts w:hint="eastAsia" w:ascii="宋体" w:hAnsi="宋体"/>
        </w:rPr>
        <w:t xml:space="preserve">     </w:t>
      </w:r>
      <w:r>
        <w:rPr>
          <w:rFonts w:hint="eastAsia" w:ascii="宋体" w:hAnsi="宋体"/>
          <w:b/>
        </w:rPr>
        <w:t>项目编号：</w:t>
      </w:r>
      <w:r>
        <w:rPr>
          <w:rFonts w:ascii="宋体" w:hAnsi="宋体"/>
          <w:u w:val="single"/>
        </w:rPr>
        <w:t xml:space="preserve"> </w:t>
      </w:r>
      <w:r>
        <w:rPr>
          <w:rFonts w:hint="eastAsia" w:ascii="宋体" w:hAnsi="宋体"/>
          <w:u w:val="single"/>
        </w:rPr>
        <w:t xml:space="preserve">                       </w:t>
      </w:r>
    </w:p>
    <w:p>
      <w:pPr>
        <w:spacing w:line="360" w:lineRule="auto"/>
        <w:rPr>
          <w:rFonts w:hint="eastAsia" w:ascii="宋体" w:hAnsi="宋体"/>
          <w:b/>
          <w:color w:val="FF0000"/>
          <w:u w:val="single"/>
        </w:rPr>
      </w:pPr>
      <w:r>
        <w:rPr>
          <w:rFonts w:hint="eastAsia" w:ascii="宋体" w:hAnsi="宋体"/>
          <w:b/>
        </w:rPr>
        <w:t>时    间：</w:t>
      </w:r>
      <w:r>
        <w:rPr>
          <w:rFonts w:hint="eastAsia" w:ascii="宋体" w:hAnsi="宋体"/>
          <w:u w:val="single"/>
        </w:rPr>
        <w:t xml:space="preserve">         </w:t>
      </w:r>
      <w:r>
        <w:rPr>
          <w:rFonts w:ascii="宋体" w:hAnsi="宋体"/>
          <w:u w:val="single"/>
        </w:rPr>
        <w:t>年</w:t>
      </w:r>
      <w:r>
        <w:rPr>
          <w:rFonts w:hint="eastAsia" w:ascii="宋体" w:hAnsi="宋体"/>
          <w:u w:val="single"/>
        </w:rPr>
        <w:t xml:space="preserve">    </w:t>
      </w:r>
      <w:r>
        <w:rPr>
          <w:rFonts w:ascii="宋体" w:hAnsi="宋体"/>
          <w:u w:val="single"/>
        </w:rPr>
        <w:t>月</w:t>
      </w:r>
      <w:r>
        <w:rPr>
          <w:rFonts w:hint="eastAsia" w:ascii="宋体" w:hAnsi="宋体"/>
          <w:u w:val="single"/>
        </w:rPr>
        <w:t xml:space="preserve">    </w:t>
      </w:r>
      <w:r>
        <w:rPr>
          <w:rFonts w:ascii="宋体" w:hAnsi="宋体"/>
          <w:u w:val="single"/>
        </w:rPr>
        <w:t>日</w:t>
      </w:r>
      <w:r>
        <w:rPr>
          <w:rFonts w:hint="eastAsia" w:ascii="宋体" w:hAnsi="宋体"/>
          <w:u w:val="single"/>
        </w:rPr>
        <w:t xml:space="preserve">   点   分</w:t>
      </w:r>
      <w:r>
        <w:rPr>
          <w:rFonts w:hint="eastAsia" w:ascii="宋体" w:hAnsi="宋体"/>
        </w:rPr>
        <w:t xml:space="preserve">      </w:t>
      </w:r>
      <w:r>
        <w:rPr>
          <w:rFonts w:hint="eastAsia" w:ascii="宋体" w:hAnsi="宋体"/>
          <w:b/>
        </w:rPr>
        <w:t>地    点：</w:t>
      </w:r>
      <w:r>
        <w:rPr>
          <w:rFonts w:hint="eastAsia" w:ascii="宋体" w:hAnsi="宋体"/>
          <w:b/>
          <w:u w:val="single"/>
        </w:rPr>
        <w:t xml:space="preserve">                      </w:t>
      </w:r>
      <w:r>
        <w:rPr>
          <w:rFonts w:hint="eastAsia" w:ascii="宋体" w:hAnsi="宋体"/>
          <w:b/>
          <w:color w:val="FF0000"/>
          <w:u w:val="single"/>
        </w:rPr>
        <w:t xml:space="preserve">   </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1"/>
        <w:gridCol w:w="3244"/>
        <w:gridCol w:w="182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7" w:hRule="atLeast"/>
        </w:trPr>
        <w:tc>
          <w:tcPr>
            <w:tcW w:w="1291"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rPr>
              <w:t>项目名称</w:t>
            </w:r>
          </w:p>
        </w:tc>
        <w:tc>
          <w:tcPr>
            <w:tcW w:w="1860"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b/>
              </w:rPr>
            </w:pPr>
            <w:r>
              <w:rPr>
                <w:rFonts w:hint="eastAsia" w:ascii="宋体" w:hAnsi="宋体"/>
                <w:b/>
              </w:rPr>
              <w:t>投标报价</w:t>
            </w: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b/>
              </w:rPr>
              <w:t>（第二轮报价）</w:t>
            </w:r>
          </w:p>
        </w:tc>
        <w:tc>
          <w:tcPr>
            <w:tcW w:w="1044"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szCs w:val="21"/>
              </w:rPr>
              <w:t>服务期限</w:t>
            </w:r>
          </w:p>
        </w:tc>
        <w:tc>
          <w:tcPr>
            <w:tcW w:w="805"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67" w:hRule="atLeast"/>
        </w:trPr>
        <w:tc>
          <w:tcPr>
            <w:tcW w:w="1291"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rPr>
            </w:pPr>
            <w:r>
              <w:rPr>
                <w:rFonts w:hint="eastAsia" w:ascii="宋体" w:hAnsi="宋体"/>
              </w:rPr>
              <w:t>国家税务总局深圳市罗湖区税务局2024年自助办税终端驻点运维服务项目</w:t>
            </w:r>
          </w:p>
        </w:tc>
        <w:tc>
          <w:tcPr>
            <w:tcW w:w="1860"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rPr>
            </w:pPr>
          </w:p>
        </w:tc>
        <w:tc>
          <w:tcPr>
            <w:tcW w:w="1044"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rPr>
            </w:pPr>
            <w:r>
              <w:rPr>
                <w:rFonts w:hint="eastAsia" w:ascii="宋体" w:hAnsi="宋体"/>
              </w:rPr>
              <w:t>2024年4月1日至2024年12月31日，共计9个月。</w:t>
            </w:r>
          </w:p>
        </w:tc>
        <w:tc>
          <w:tcPr>
            <w:tcW w:w="805"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color w:val="FF0000"/>
        </w:rPr>
      </w:pPr>
      <w:r>
        <w:rPr>
          <w:rFonts w:hint="eastAsia" w:ascii="宋体" w:hAnsi="宋体"/>
          <w:color w:val="FF0000"/>
        </w:rPr>
        <w:tab/>
      </w:r>
      <w:r>
        <w:rPr>
          <w:rFonts w:hint="eastAsia" w:ascii="宋体" w:hAnsi="宋体"/>
          <w:color w:val="FF0000"/>
        </w:rPr>
        <w:tab/>
      </w:r>
      <w:r>
        <w:rPr>
          <w:rFonts w:hint="eastAsia" w:ascii="宋体" w:hAnsi="宋体"/>
          <w:color w:val="FF0000"/>
        </w:rPr>
        <w:tab/>
      </w:r>
      <w:r>
        <w:rPr>
          <w:rFonts w:hint="eastAsia" w:ascii="宋体" w:hAnsi="宋体"/>
          <w:color w:val="FF0000"/>
        </w:rPr>
        <w:tab/>
      </w:r>
      <w:r>
        <w:rPr>
          <w:rFonts w:hint="eastAsia" w:ascii="宋体" w:hAnsi="宋体"/>
          <w:color w:val="FF0000"/>
        </w:rPr>
        <w:tab/>
      </w:r>
      <w:r>
        <w:rPr>
          <w:rFonts w:hint="eastAsia" w:ascii="宋体" w:hAnsi="宋体"/>
          <w:color w:val="FF0000"/>
        </w:rPr>
        <w:tab/>
      </w:r>
      <w:r>
        <w:rPr>
          <w:rFonts w:hint="eastAsia" w:ascii="宋体" w:hAnsi="宋体"/>
          <w:color w:val="FF0000"/>
        </w:rPr>
        <w:tab/>
      </w:r>
      <w:r>
        <w:rPr>
          <w:rFonts w:hint="eastAsia" w:ascii="宋体" w:hAnsi="宋体"/>
          <w:color w:val="FF0000"/>
        </w:rPr>
        <w:tab/>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b/>
        </w:rPr>
      </w:pPr>
      <w:r>
        <w:rPr>
          <w:rFonts w:hint="eastAsia" w:ascii="宋体" w:hAnsi="宋体"/>
          <w:b/>
        </w:rPr>
        <w:t xml:space="preserve">有关承诺： </w:t>
      </w:r>
      <w:r>
        <w:rPr>
          <w:rFonts w:hint="eastAsia" w:ascii="宋体" w:hAnsi="宋体"/>
          <w:b/>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830" w:firstLineChars="2300"/>
        <w:rPr>
          <w:rFonts w:hint="eastAsia" w:ascii="宋体" w:hAnsi="宋体"/>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u w:val="single"/>
        </w:rPr>
      </w:pPr>
      <w:r>
        <w:rPr>
          <w:rFonts w:hint="eastAsia" w:ascii="宋体" w:hAnsi="宋体"/>
          <w:b/>
        </w:rPr>
        <w:t xml:space="preserve">授权代表签字： </w:t>
      </w:r>
      <w:r>
        <w:rPr>
          <w:rFonts w:hint="eastAsia" w:ascii="宋体" w:hAnsi="宋体"/>
          <w:b/>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u w:val="single"/>
        </w:rPr>
      </w:pPr>
      <w:r>
        <w:rPr>
          <w:rFonts w:hint="eastAsia" w:ascii="宋体" w:hAnsi="宋体"/>
          <w:b/>
        </w:rPr>
        <w:t xml:space="preserve">供 应 商名称： </w:t>
      </w:r>
      <w:r>
        <w:rPr>
          <w:rFonts w:hint="eastAsia" w:ascii="宋体" w:hAnsi="宋体"/>
          <w:b/>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u w:val="single"/>
        </w:rPr>
      </w:pPr>
      <w:r>
        <w:rPr>
          <w:rFonts w:hint="eastAsia" w:ascii="宋体" w:hAnsi="宋体"/>
          <w:b/>
        </w:rPr>
        <w:t xml:space="preserve">日        期： </w:t>
      </w:r>
      <w:r>
        <w:rPr>
          <w:rFonts w:hint="eastAsia" w:ascii="宋体" w:hAnsi="宋体"/>
          <w:b/>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b/>
          <w:color w:val="FF0000"/>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b/>
          <w:color w:val="FF0000"/>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b/>
          <w:u w:val="single"/>
        </w:rPr>
      </w:pPr>
    </w:p>
    <w:p>
      <w:pPr>
        <w:jc w:val="center"/>
        <w:rPr>
          <w:rFonts w:hint="eastAsia" w:ascii="宋体" w:hAnsi="宋体"/>
          <w:color w:val="FF0000"/>
        </w:rPr>
      </w:pPr>
      <w:r>
        <w:rPr>
          <w:rFonts w:hint="eastAsia" w:ascii="宋体" w:hAnsi="宋体"/>
          <w:b/>
        </w:rPr>
        <w:t>注：此表按“磋商文件”的规定在磋商结束后，在磋商小组规定的时间内提交</w:t>
      </w:r>
      <w:r>
        <w:rPr>
          <w:rFonts w:hint="eastAsia" w:ascii="宋体" w:hAnsi="宋体"/>
        </w:rPr>
        <w:t>。</w:t>
      </w:r>
    </w:p>
    <w:p>
      <w:pPr>
        <w:jc w:val="center"/>
        <w:rPr>
          <w:rFonts w:hint="eastAsia" w:ascii="宋体" w:hAnsi="宋体"/>
          <w:color w:val="FF0000"/>
        </w:rPr>
      </w:pPr>
    </w:p>
    <w:p>
      <w:pPr>
        <w:jc w:val="center"/>
        <w:rPr>
          <w:rFonts w:hint="eastAsia" w:ascii="宋体" w:hAnsi="宋体"/>
          <w:color w:val="FF0000"/>
        </w:rPr>
      </w:pPr>
    </w:p>
    <w:p>
      <w:pPr>
        <w:jc w:val="center"/>
        <w:rPr>
          <w:rFonts w:hint="eastAsia" w:ascii="宋体" w:hAnsi="宋体"/>
          <w:color w:val="FF0000"/>
        </w:rPr>
      </w:pPr>
    </w:p>
    <w:p>
      <w:pPr>
        <w:jc w:val="center"/>
        <w:rPr>
          <w:rFonts w:hint="eastAsia" w:ascii="宋体" w:hAnsi="宋体"/>
          <w:color w:val="FF0000"/>
        </w:rPr>
      </w:pPr>
    </w:p>
    <w:p>
      <w:pPr>
        <w:jc w:val="center"/>
        <w:rPr>
          <w:rFonts w:hint="eastAsia" w:ascii="宋体" w:hAnsi="宋体"/>
          <w:color w:val="FF0000"/>
        </w:rPr>
      </w:pPr>
    </w:p>
    <w:p>
      <w:pPr>
        <w:jc w:val="center"/>
        <w:rPr>
          <w:rFonts w:hint="eastAsia" w:ascii="宋体" w:hAnsi="宋体"/>
          <w:color w:val="FF0000"/>
        </w:rPr>
      </w:pPr>
    </w:p>
    <w:p>
      <w:pPr>
        <w:jc w:val="center"/>
        <w:rPr>
          <w:rFonts w:hint="eastAsia" w:ascii="宋体" w:hAnsi="宋体"/>
          <w:color w:val="FF0000"/>
        </w:rPr>
      </w:pPr>
    </w:p>
    <w:p>
      <w:pPr>
        <w:pStyle w:val="4"/>
        <w:snapToGrid w:val="0"/>
        <w:spacing w:before="0" w:after="0" w:line="360" w:lineRule="auto"/>
        <w:jc w:val="center"/>
        <w:rPr>
          <w:rFonts w:hint="eastAsia" w:ascii="黑体" w:hAnsi="黑体" w:eastAsia="黑体"/>
        </w:rPr>
      </w:pPr>
      <w:bookmarkStart w:id="105" w:name="_Toc161306895"/>
      <w:r>
        <w:rPr>
          <w:rFonts w:hint="eastAsia" w:ascii="黑体" w:hAnsi="黑体" w:eastAsia="黑体"/>
        </w:rPr>
        <w:t>13、最终报价及承诺一览表</w:t>
      </w:r>
      <w:bookmarkEnd w:id="105"/>
    </w:p>
    <w:p>
      <w:pPr>
        <w:jc w:val="center"/>
        <w:rPr>
          <w:rFonts w:hint="eastAsia" w:ascii="宋体" w:hAnsi="宋体"/>
          <w:bCs/>
          <w:szCs w:val="36"/>
        </w:rPr>
      </w:pPr>
      <w:r>
        <w:rPr>
          <w:rFonts w:hint="eastAsia" w:ascii="宋体" w:hAnsi="宋体"/>
          <w:bCs/>
          <w:szCs w:val="36"/>
        </w:rPr>
        <w:t>（本表在磋商后由招标机构提供）</w:t>
      </w:r>
    </w:p>
    <w:p>
      <w:pPr>
        <w:spacing w:line="360" w:lineRule="auto"/>
        <w:rPr>
          <w:rFonts w:hint="eastAsia" w:ascii="宋体" w:hAnsi="宋体"/>
        </w:rPr>
      </w:pPr>
      <w:r>
        <w:rPr>
          <w:rFonts w:hint="eastAsia" w:ascii="宋体" w:hAnsi="宋体"/>
          <w:b/>
        </w:rPr>
        <w:t>供应商名称：</w:t>
      </w:r>
      <w:r>
        <w:rPr>
          <w:rFonts w:hint="eastAsia" w:ascii="宋体" w:hAnsi="宋体"/>
          <w:u w:val="single"/>
        </w:rPr>
        <w:t xml:space="preserve">                                </w:t>
      </w:r>
      <w:r>
        <w:rPr>
          <w:rFonts w:hint="eastAsia" w:ascii="宋体" w:hAnsi="宋体"/>
        </w:rPr>
        <w:t xml:space="preserve">     </w:t>
      </w:r>
      <w:r>
        <w:rPr>
          <w:rFonts w:hint="eastAsia" w:ascii="宋体" w:hAnsi="宋体"/>
          <w:b/>
        </w:rPr>
        <w:t>项目编号：</w:t>
      </w:r>
      <w:r>
        <w:rPr>
          <w:rFonts w:ascii="宋体" w:hAnsi="宋体"/>
          <w:u w:val="single"/>
        </w:rPr>
        <w:t xml:space="preserve"> </w:t>
      </w:r>
      <w:r>
        <w:rPr>
          <w:rFonts w:hint="eastAsia" w:ascii="宋体" w:hAnsi="宋体"/>
          <w:u w:val="single"/>
        </w:rPr>
        <w:t xml:space="preserve">                       </w:t>
      </w:r>
    </w:p>
    <w:p>
      <w:pPr>
        <w:spacing w:line="360" w:lineRule="auto"/>
        <w:rPr>
          <w:rFonts w:hint="eastAsia" w:ascii="宋体" w:hAnsi="宋体"/>
          <w:b/>
          <w:u w:val="single"/>
        </w:rPr>
      </w:pPr>
      <w:r>
        <w:rPr>
          <w:rFonts w:hint="eastAsia" w:ascii="宋体" w:hAnsi="宋体"/>
          <w:b/>
        </w:rPr>
        <w:t>时    间：</w:t>
      </w:r>
      <w:r>
        <w:rPr>
          <w:rFonts w:hint="eastAsia" w:ascii="宋体" w:hAnsi="宋体"/>
          <w:u w:val="single"/>
        </w:rPr>
        <w:t xml:space="preserve">         </w:t>
      </w:r>
      <w:r>
        <w:rPr>
          <w:rFonts w:ascii="宋体" w:hAnsi="宋体"/>
          <w:u w:val="single"/>
        </w:rPr>
        <w:t>年</w:t>
      </w:r>
      <w:r>
        <w:rPr>
          <w:rFonts w:hint="eastAsia" w:ascii="宋体" w:hAnsi="宋体"/>
          <w:u w:val="single"/>
        </w:rPr>
        <w:t xml:space="preserve">    </w:t>
      </w:r>
      <w:r>
        <w:rPr>
          <w:rFonts w:ascii="宋体" w:hAnsi="宋体"/>
          <w:u w:val="single"/>
        </w:rPr>
        <w:t>月</w:t>
      </w:r>
      <w:r>
        <w:rPr>
          <w:rFonts w:hint="eastAsia" w:ascii="宋体" w:hAnsi="宋体"/>
          <w:u w:val="single"/>
        </w:rPr>
        <w:t xml:space="preserve">    </w:t>
      </w:r>
      <w:r>
        <w:rPr>
          <w:rFonts w:ascii="宋体" w:hAnsi="宋体"/>
          <w:u w:val="single"/>
        </w:rPr>
        <w:t>日</w:t>
      </w:r>
      <w:r>
        <w:rPr>
          <w:rFonts w:hint="eastAsia" w:ascii="宋体" w:hAnsi="宋体"/>
          <w:u w:val="single"/>
        </w:rPr>
        <w:t xml:space="preserve">   点   分</w:t>
      </w:r>
      <w:r>
        <w:rPr>
          <w:rFonts w:hint="eastAsia" w:ascii="宋体" w:hAnsi="宋体"/>
        </w:rPr>
        <w:t xml:space="preserve">      </w:t>
      </w:r>
      <w:r>
        <w:rPr>
          <w:rFonts w:hint="eastAsia" w:ascii="宋体" w:hAnsi="宋体"/>
          <w:b/>
        </w:rPr>
        <w:t>地    点：</w:t>
      </w:r>
      <w:r>
        <w:rPr>
          <w:rFonts w:hint="eastAsia" w:ascii="宋体" w:hAnsi="宋体"/>
          <w:b/>
          <w:u w:val="single"/>
        </w:rPr>
        <w:t xml:space="preserve">                         </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1"/>
        <w:gridCol w:w="3244"/>
        <w:gridCol w:w="182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7" w:hRule="atLeast"/>
        </w:trPr>
        <w:tc>
          <w:tcPr>
            <w:tcW w:w="1291"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rPr>
              <w:t>项目名称</w:t>
            </w:r>
          </w:p>
        </w:tc>
        <w:tc>
          <w:tcPr>
            <w:tcW w:w="1860"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b/>
              </w:rPr>
            </w:pPr>
            <w:r>
              <w:rPr>
                <w:rFonts w:hint="eastAsia" w:ascii="宋体" w:hAnsi="宋体"/>
                <w:b/>
              </w:rPr>
              <w:t>投标报价</w:t>
            </w: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b/>
              </w:rPr>
              <w:t>（最终报价）</w:t>
            </w:r>
          </w:p>
        </w:tc>
        <w:tc>
          <w:tcPr>
            <w:tcW w:w="1044"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rPr>
            </w:pPr>
            <w:r>
              <w:rPr>
                <w:rFonts w:hint="eastAsia" w:ascii="宋体" w:hAnsi="宋体"/>
                <w:szCs w:val="21"/>
              </w:rPr>
              <w:t>服务期限</w:t>
            </w:r>
          </w:p>
        </w:tc>
        <w:tc>
          <w:tcPr>
            <w:tcW w:w="805"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67" w:hRule="atLeast"/>
        </w:trPr>
        <w:tc>
          <w:tcPr>
            <w:tcW w:w="1291" w:type="pct"/>
            <w:noWrap w:val="0"/>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rPr>
            </w:pPr>
            <w:r>
              <w:rPr>
                <w:rFonts w:hint="eastAsia" w:ascii="宋体" w:hAnsi="宋体"/>
              </w:rPr>
              <w:t>国家税务总局深圳市罗湖区税务局2024年自助办税终端驻点运维服务项目</w:t>
            </w:r>
          </w:p>
        </w:tc>
        <w:tc>
          <w:tcPr>
            <w:tcW w:w="1860" w:type="pct"/>
            <w:noWrap w:val="0"/>
            <w:vAlign w:val="center"/>
          </w:tcPr>
          <w:p>
            <w:pPr>
              <w:tabs>
                <w:tab w:val="left" w:pos="654"/>
                <w:tab w:val="left" w:pos="1734"/>
                <w:tab w:val="left" w:pos="2814"/>
                <w:tab w:val="left" w:pos="3894"/>
                <w:tab w:val="left" w:pos="5334"/>
                <w:tab w:val="left" w:pos="6414"/>
                <w:tab w:val="left" w:pos="7254"/>
                <w:tab w:val="left" w:pos="8574"/>
                <w:tab w:val="left" w:pos="9654"/>
              </w:tabs>
              <w:rPr>
                <w:rFonts w:hint="eastAsia" w:ascii="宋体" w:hAnsi="宋体"/>
              </w:rPr>
            </w:pPr>
          </w:p>
        </w:tc>
        <w:tc>
          <w:tcPr>
            <w:tcW w:w="1044" w:type="pct"/>
            <w:noWrap w:val="0"/>
            <w:vAlign w:val="center"/>
          </w:tcPr>
          <w:p>
            <w:pPr>
              <w:tabs>
                <w:tab w:val="left" w:pos="654"/>
                <w:tab w:val="left" w:pos="1734"/>
                <w:tab w:val="left" w:pos="2814"/>
                <w:tab w:val="left" w:pos="3894"/>
                <w:tab w:val="left" w:pos="5334"/>
                <w:tab w:val="left" w:pos="6414"/>
                <w:tab w:val="left" w:pos="7254"/>
                <w:tab w:val="left" w:pos="8574"/>
                <w:tab w:val="left" w:pos="9654"/>
              </w:tabs>
              <w:rPr>
                <w:rFonts w:hint="eastAsia" w:ascii="宋体" w:hAnsi="宋体"/>
              </w:rPr>
            </w:pPr>
            <w:r>
              <w:rPr>
                <w:rFonts w:hint="eastAsia" w:ascii="宋体" w:hAnsi="宋体"/>
              </w:rPr>
              <w:t>2024年4月1日至2024年12月31日，共计9个月。</w:t>
            </w:r>
          </w:p>
        </w:tc>
        <w:tc>
          <w:tcPr>
            <w:tcW w:w="805" w:type="pct"/>
            <w:noWrap w:val="0"/>
            <w:vAlign w:val="center"/>
          </w:tcPr>
          <w:p>
            <w:pPr>
              <w:tabs>
                <w:tab w:val="left" w:pos="654"/>
                <w:tab w:val="left" w:pos="1734"/>
                <w:tab w:val="left" w:pos="2814"/>
                <w:tab w:val="left" w:pos="3894"/>
                <w:tab w:val="left" w:pos="5334"/>
                <w:tab w:val="left" w:pos="6414"/>
                <w:tab w:val="left" w:pos="7254"/>
                <w:tab w:val="left" w:pos="8574"/>
                <w:tab w:val="left" w:pos="9654"/>
              </w:tabs>
              <w:rPr>
                <w:rFonts w:hint="eastAsia" w:ascii="宋体" w:hAnsi="宋体"/>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rPr>
      </w:pP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b/>
        </w:rPr>
      </w:pPr>
      <w:r>
        <w:rPr>
          <w:rFonts w:hint="eastAsia" w:ascii="宋体" w:hAnsi="宋体"/>
          <w:b/>
        </w:rPr>
        <w:t xml:space="preserve">有关承诺： </w:t>
      </w:r>
      <w:r>
        <w:rPr>
          <w:rFonts w:hint="eastAsia" w:ascii="宋体" w:hAnsi="宋体"/>
          <w:b/>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u w:val="single"/>
        </w:rPr>
      </w:pPr>
      <w:r>
        <w:rPr>
          <w:rFonts w:hint="eastAsia" w:ascii="宋体" w:hAnsi="宋体"/>
        </w:rPr>
        <w:t xml:space="preserve">           </w:t>
      </w:r>
      <w:r>
        <w:rPr>
          <w:rFonts w:hint="eastAsia" w:ascii="宋体" w:hAnsi="宋体"/>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830" w:firstLineChars="2300"/>
        <w:rPr>
          <w:rFonts w:hint="eastAsia" w:ascii="宋体" w:hAnsi="宋体"/>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u w:val="single"/>
        </w:rPr>
      </w:pPr>
      <w:r>
        <w:rPr>
          <w:rFonts w:hint="eastAsia" w:ascii="宋体" w:hAnsi="宋体"/>
          <w:b/>
        </w:rPr>
        <w:t xml:space="preserve">授权代表签字： </w:t>
      </w:r>
      <w:r>
        <w:rPr>
          <w:rFonts w:hint="eastAsia" w:ascii="宋体" w:hAnsi="宋体"/>
          <w:b/>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u w:val="single"/>
        </w:rPr>
      </w:pPr>
      <w:r>
        <w:rPr>
          <w:rFonts w:hint="eastAsia" w:ascii="宋体" w:hAnsi="宋体"/>
          <w:b/>
        </w:rPr>
        <w:t xml:space="preserve">供 应 商名称： </w:t>
      </w:r>
      <w:r>
        <w:rPr>
          <w:rFonts w:hint="eastAsia" w:ascii="宋体" w:hAnsi="宋体"/>
          <w:b/>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784" w:firstLineChars="2269"/>
        <w:rPr>
          <w:rFonts w:hint="eastAsia" w:ascii="宋体" w:hAnsi="宋体"/>
          <w:b/>
          <w:u w:val="single"/>
        </w:rPr>
      </w:pPr>
      <w:r>
        <w:rPr>
          <w:rFonts w:hint="eastAsia" w:ascii="宋体" w:hAnsi="宋体"/>
          <w:b/>
        </w:rPr>
        <w:t xml:space="preserve">日        期： </w:t>
      </w:r>
      <w:r>
        <w:rPr>
          <w:rFonts w:hint="eastAsia" w:ascii="宋体" w:hAnsi="宋体"/>
          <w:b/>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b/>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b/>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b/>
          <w:u w:val="single"/>
        </w:rPr>
      </w:pPr>
    </w:p>
    <w:p>
      <w:pPr>
        <w:jc w:val="center"/>
        <w:rPr>
          <w:rFonts w:hint="eastAsia" w:ascii="宋体" w:hAnsi="宋体"/>
        </w:rPr>
      </w:pPr>
      <w:r>
        <w:rPr>
          <w:rFonts w:hint="eastAsia" w:ascii="宋体" w:hAnsi="宋体"/>
          <w:b/>
        </w:rPr>
        <w:t>注：此表按“磋商文件”的规定在磋商结束后，在磋商小组规定的时间内提交</w:t>
      </w:r>
      <w:r>
        <w:rPr>
          <w:rFonts w:hint="eastAsia" w:ascii="宋体" w:hAnsi="宋体"/>
        </w:rPr>
        <w:t>。</w:t>
      </w: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color w:val="FF0000"/>
        </w:rPr>
      </w:pPr>
    </w:p>
    <w:p>
      <w:pPr>
        <w:jc w:val="center"/>
        <w:rPr>
          <w:rFonts w:hint="eastAsia"/>
        </w:rPr>
      </w:pPr>
    </w:p>
    <w:p>
      <w:pPr>
        <w:rPr>
          <w:rFonts w:hint="eastAsia"/>
        </w:rPr>
      </w:pPr>
    </w:p>
    <w:p>
      <w:pPr>
        <w:pStyle w:val="2"/>
        <w:jc w:val="center"/>
        <w:rPr>
          <w:rFonts w:hint="eastAsia" w:ascii="华文新魏" w:eastAsia="华文新魏"/>
          <w:sz w:val="72"/>
          <w:szCs w:val="72"/>
        </w:rPr>
      </w:pPr>
      <w:bookmarkStart w:id="106" w:name="_Toc129858943"/>
      <w:bookmarkStart w:id="107" w:name="_Toc161306896"/>
      <w:r>
        <w:rPr>
          <w:rFonts w:hint="eastAsia" w:ascii="华文新魏" w:eastAsia="华文新魏"/>
          <w:sz w:val="72"/>
          <w:szCs w:val="72"/>
        </w:rPr>
        <w:t>第五章 供应商须知</w:t>
      </w:r>
      <w:bookmarkEnd w:id="106"/>
      <w:bookmarkEnd w:id="107"/>
    </w:p>
    <w:p>
      <w:pPr>
        <w:rPr>
          <w:rFonts w:hint="eastAsia" w:ascii="宋体" w:hAnsi="宋体"/>
          <w:sz w:val="28"/>
        </w:rPr>
      </w:pPr>
      <w:r>
        <w:rPr>
          <w:rFonts w:hint="eastAsia" w:ascii="宋体" w:hAnsi="宋体"/>
          <w:b/>
          <w:sz w:val="28"/>
        </w:rPr>
        <w:t xml:space="preserve">一  </w:t>
      </w:r>
      <w:bookmarkStart w:id="108" w:name="Toubiaorenxuzhi5"/>
      <w:bookmarkEnd w:id="108"/>
      <w:bookmarkStart w:id="109" w:name="Zongze6"/>
      <w:bookmarkEnd w:id="109"/>
      <w:r>
        <w:rPr>
          <w:rFonts w:hint="eastAsia" w:ascii="宋体" w:hAnsi="宋体"/>
          <w:b/>
          <w:sz w:val="28"/>
        </w:rPr>
        <w:t>总 则</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项目概述</w:t>
      </w:r>
    </w:p>
    <w:p>
      <w:pPr>
        <w:spacing w:line="400" w:lineRule="exact"/>
        <w:ind w:firstLine="420" w:firstLineChars="200"/>
        <w:rPr>
          <w:rFonts w:hint="eastAsia"/>
        </w:rPr>
      </w:pPr>
      <w:r>
        <w:rPr>
          <w:rFonts w:hint="eastAsia"/>
        </w:rPr>
        <w:t>1.1  本项目概述详见</w:t>
      </w:r>
      <w:r>
        <w:rPr>
          <w:rFonts w:hint="eastAsia"/>
          <w:szCs w:val="21"/>
        </w:rPr>
        <w:t>第二章《项目要求》部分</w:t>
      </w:r>
      <w:r>
        <w:rPr>
          <w:rFonts w:hint="eastAsia"/>
        </w:rPr>
        <w:t>。</w:t>
      </w:r>
    </w:p>
    <w:p>
      <w:pPr>
        <w:spacing w:line="400" w:lineRule="exact"/>
        <w:ind w:firstLine="420" w:firstLineChars="200"/>
        <w:rPr>
          <w:rFonts w:hint="eastAsia"/>
        </w:rPr>
      </w:pPr>
      <w:r>
        <w:rPr>
          <w:rFonts w:hint="eastAsia"/>
        </w:rPr>
        <w:t>1.2  本项目按照</w:t>
      </w:r>
      <w:r>
        <w:rPr>
          <w:rFonts w:hint="eastAsia"/>
          <w:szCs w:val="21"/>
        </w:rPr>
        <w:t>《中华人民共和国政府采购法》、《中华人民共和国政府采购法实施条例》</w:t>
      </w:r>
      <w:r>
        <w:rPr>
          <w:rFonts w:hint="eastAsia"/>
        </w:rPr>
        <w:t>和有关法律、法规，通过竞争性磋商采购选定成交供应商。</w:t>
      </w:r>
    </w:p>
    <w:p>
      <w:pPr>
        <w:pStyle w:val="14"/>
        <w:numPr>
          <w:ilvl w:val="0"/>
          <w:numId w:val="9"/>
        </w:numPr>
        <w:autoSpaceDE w:val="0"/>
        <w:autoSpaceDN w:val="0"/>
        <w:adjustRightInd w:val="0"/>
        <w:spacing w:line="400" w:lineRule="exact"/>
        <w:textAlignment w:val="baseline"/>
        <w:rPr>
          <w:b/>
          <w:sz w:val="21"/>
        </w:rPr>
      </w:pPr>
      <w:r>
        <w:rPr>
          <w:b/>
          <w:sz w:val="21"/>
        </w:rPr>
        <w:t>资金来源</w:t>
      </w:r>
    </w:p>
    <w:p>
      <w:pPr>
        <w:spacing w:line="400" w:lineRule="exact"/>
        <w:ind w:firstLine="420" w:firstLineChars="200"/>
        <w:rPr>
          <w:rFonts w:hint="eastAsia"/>
        </w:rPr>
      </w:pPr>
      <w:r>
        <w:rPr>
          <w:rFonts w:hint="eastAsia"/>
        </w:rPr>
        <w:t>采购人已获得一笔资金，采购人计划将一部分资金用于支付本次竞争性磋商后所签订的合同项下的款项。</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采购</w:t>
      </w:r>
      <w:r>
        <w:rPr>
          <w:b/>
          <w:sz w:val="21"/>
        </w:rPr>
        <w:t>人</w:t>
      </w:r>
    </w:p>
    <w:p>
      <w:pPr>
        <w:spacing w:line="400" w:lineRule="exact"/>
        <w:ind w:firstLine="420" w:firstLineChars="200"/>
        <w:rPr>
          <w:rFonts w:hint="eastAsia"/>
        </w:rPr>
      </w:pPr>
      <w:r>
        <w:rPr>
          <w:rFonts w:hint="eastAsia"/>
        </w:rPr>
        <w:t>采购</w:t>
      </w:r>
      <w:r>
        <w:t>人是指</w:t>
      </w:r>
      <w:r>
        <w:rPr>
          <w:rFonts w:hint="eastAsia"/>
        </w:rPr>
        <w:t>具有相应</w:t>
      </w:r>
      <w:r>
        <w:t>资金</w:t>
      </w:r>
      <w:r>
        <w:rPr>
          <w:rFonts w:hint="eastAsia"/>
        </w:rPr>
        <w:t>并提出采购项目、进行采购的法人或其他组</w:t>
      </w:r>
      <w:r>
        <w:t>织。本文件的</w:t>
      </w:r>
      <w:r>
        <w:rPr>
          <w:rFonts w:hint="eastAsia"/>
        </w:rPr>
        <w:t>采购</w:t>
      </w:r>
      <w:r>
        <w:t>人特指</w:t>
      </w:r>
      <w:r>
        <w:rPr>
          <w:rFonts w:hint="eastAsia"/>
        </w:rPr>
        <w:t>“</w:t>
      </w:r>
      <w:r>
        <w:rPr>
          <w:rFonts w:hint="eastAsia"/>
          <w:b/>
        </w:rPr>
        <w:t>国家税务总局深圳市罗湖区税务局</w:t>
      </w:r>
      <w:r>
        <w:rPr>
          <w:rFonts w:hint="eastAsia"/>
        </w:rPr>
        <w:t>”</w:t>
      </w:r>
      <w:r>
        <w:t>，简称</w:t>
      </w:r>
      <w:r>
        <w:rPr>
          <w:b/>
        </w:rPr>
        <w:t>采购人</w:t>
      </w:r>
      <w:r>
        <w:t>或</w:t>
      </w:r>
      <w:r>
        <w:rPr>
          <w:b/>
        </w:rPr>
        <w:t>买方</w:t>
      </w:r>
      <w:r>
        <w:t>。</w:t>
      </w:r>
    </w:p>
    <w:p>
      <w:pPr>
        <w:spacing w:line="400" w:lineRule="exact"/>
        <w:ind w:firstLine="420" w:firstLineChars="200"/>
        <w:rPr>
          <w:rFonts w:hint="eastAsia"/>
        </w:rPr>
      </w:pPr>
      <w:r>
        <w:rPr>
          <w:kern w:val="0"/>
        </w:rPr>
        <w:t xml:space="preserve">采购人名称： </w:t>
      </w:r>
      <w:r>
        <w:rPr>
          <w:rFonts w:hint="eastAsia"/>
          <w:kern w:val="0"/>
        </w:rPr>
        <w:t xml:space="preserve"> </w:t>
      </w:r>
      <w:r>
        <w:rPr>
          <w:rFonts w:hint="eastAsia"/>
        </w:rPr>
        <w:t>国家税务总局深圳市罗湖区税务局</w:t>
      </w:r>
    </w:p>
    <w:p>
      <w:pPr>
        <w:spacing w:line="400" w:lineRule="exact"/>
        <w:ind w:firstLine="420" w:firstLineChars="200"/>
        <w:rPr>
          <w:rFonts w:hint="eastAsia"/>
        </w:rPr>
      </w:pPr>
      <w:r>
        <w:rPr>
          <w:kern w:val="0"/>
        </w:rPr>
        <w:t xml:space="preserve">采购人地址： </w:t>
      </w:r>
      <w:r>
        <w:rPr>
          <w:szCs w:val="21"/>
          <w:shd w:val="clear" w:color="auto" w:fill="F8F8F8"/>
        </w:rPr>
        <w:t xml:space="preserve"> </w:t>
      </w:r>
      <w:r>
        <w:rPr>
          <w:rFonts w:hint="eastAsia" w:hAnsi="宋体"/>
          <w:szCs w:val="21"/>
        </w:rPr>
        <w:t>深圳市罗湖区红岭北路1056号</w:t>
      </w:r>
    </w:p>
    <w:p>
      <w:pPr>
        <w:pStyle w:val="14"/>
        <w:numPr>
          <w:ilvl w:val="0"/>
          <w:numId w:val="9"/>
        </w:numPr>
        <w:autoSpaceDE w:val="0"/>
        <w:autoSpaceDN w:val="0"/>
        <w:adjustRightInd w:val="0"/>
        <w:spacing w:line="400" w:lineRule="exact"/>
        <w:textAlignment w:val="baseline"/>
        <w:rPr>
          <w:rFonts w:hint="eastAsia"/>
          <w:b/>
          <w:sz w:val="21"/>
        </w:rPr>
      </w:pPr>
      <w:bookmarkStart w:id="110" w:name="Zongze6zhaobiao4"/>
      <w:bookmarkEnd w:id="110"/>
      <w:r>
        <w:rPr>
          <w:b/>
          <w:sz w:val="21"/>
        </w:rPr>
        <w:t>招标</w:t>
      </w:r>
      <w:r>
        <w:rPr>
          <w:rFonts w:hint="eastAsia"/>
          <w:b/>
          <w:sz w:val="21"/>
        </w:rPr>
        <w:t>代理</w:t>
      </w:r>
      <w:r>
        <w:rPr>
          <w:b/>
          <w:sz w:val="21"/>
        </w:rPr>
        <w:t xml:space="preserve">机构 </w:t>
      </w:r>
    </w:p>
    <w:p>
      <w:pPr>
        <w:pStyle w:val="14"/>
        <w:spacing w:line="400" w:lineRule="exact"/>
        <w:ind w:firstLine="420" w:firstLineChars="200"/>
        <w:rPr>
          <w:rFonts w:hint="eastAsia"/>
          <w:sz w:val="21"/>
        </w:rPr>
      </w:pPr>
      <w:r>
        <w:rPr>
          <w:sz w:val="21"/>
        </w:rPr>
        <w:t>招标</w:t>
      </w:r>
      <w:r>
        <w:rPr>
          <w:rFonts w:hint="eastAsia"/>
          <w:sz w:val="21"/>
        </w:rPr>
        <w:t>代理</w:t>
      </w:r>
      <w:r>
        <w:rPr>
          <w:sz w:val="21"/>
        </w:rPr>
        <w:t>机构是指依法</w:t>
      </w:r>
      <w:r>
        <w:rPr>
          <w:rFonts w:hint="eastAsia"/>
          <w:sz w:val="21"/>
        </w:rPr>
        <w:t>设立</w:t>
      </w:r>
      <w:r>
        <w:rPr>
          <w:sz w:val="21"/>
        </w:rPr>
        <w:t>、从事招标代理业务并提供相关服务的专门机构。本</w:t>
      </w:r>
      <w:r>
        <w:rPr>
          <w:rFonts w:hint="eastAsia"/>
          <w:sz w:val="21"/>
        </w:rPr>
        <w:t>次采购</w:t>
      </w:r>
      <w:r>
        <w:rPr>
          <w:sz w:val="21"/>
        </w:rPr>
        <w:t>的招标</w:t>
      </w:r>
      <w:r>
        <w:rPr>
          <w:rFonts w:hint="eastAsia"/>
          <w:sz w:val="21"/>
        </w:rPr>
        <w:t>代理</w:t>
      </w:r>
      <w:r>
        <w:rPr>
          <w:sz w:val="21"/>
        </w:rPr>
        <w:t>机构特指</w:t>
      </w:r>
      <w:r>
        <w:rPr>
          <w:rFonts w:hint="eastAsia"/>
          <w:sz w:val="21"/>
        </w:rPr>
        <w:t>“深圳市东方招标有限公司</w:t>
      </w:r>
      <w:r>
        <w:rPr>
          <w:rFonts w:hAnsi="宋体"/>
          <w:sz w:val="21"/>
        </w:rPr>
        <w:t>”，</w:t>
      </w:r>
      <w:r>
        <w:rPr>
          <w:sz w:val="21"/>
        </w:rPr>
        <w:t>简称</w:t>
      </w:r>
      <w:r>
        <w:rPr>
          <w:b/>
          <w:sz w:val="21"/>
        </w:rPr>
        <w:t>招标机构</w:t>
      </w:r>
      <w:r>
        <w:rPr>
          <w:sz w:val="21"/>
        </w:rPr>
        <w:t>。</w:t>
      </w:r>
    </w:p>
    <w:p>
      <w:pPr>
        <w:spacing w:line="400" w:lineRule="exact"/>
        <w:ind w:firstLine="420" w:firstLineChars="200"/>
        <w:rPr>
          <w:rFonts w:hint="eastAsia"/>
          <w:b/>
          <w:kern w:val="0"/>
          <w:szCs w:val="21"/>
          <w:u w:val="single"/>
        </w:rPr>
      </w:pPr>
      <w:r>
        <w:rPr>
          <w:rFonts w:hint="eastAsia"/>
          <w:kern w:val="0"/>
          <w:szCs w:val="21"/>
        </w:rPr>
        <w:t>招标机构地址：</w:t>
      </w:r>
      <w:r>
        <w:rPr>
          <w:rFonts w:hint="eastAsia"/>
        </w:rPr>
        <w:t>深圳市</w:t>
      </w:r>
      <w:r>
        <w:rPr>
          <w:rFonts w:hint="eastAsia"/>
          <w:szCs w:val="27"/>
        </w:rPr>
        <w:t>福田区新闻路</w:t>
      </w:r>
      <w:r>
        <w:rPr>
          <w:szCs w:val="27"/>
        </w:rPr>
        <w:t>59号深茂商业中心1</w:t>
      </w:r>
      <w:r>
        <w:rPr>
          <w:rFonts w:hint="eastAsia"/>
          <w:szCs w:val="27"/>
        </w:rPr>
        <w:t>3</w:t>
      </w:r>
      <w:r>
        <w:rPr>
          <w:szCs w:val="27"/>
        </w:rPr>
        <w:t>楼</w:t>
      </w:r>
      <w:r>
        <w:rPr>
          <w:rFonts w:hint="eastAsia"/>
          <w:szCs w:val="27"/>
        </w:rPr>
        <w:t>A</w:t>
      </w:r>
      <w:r>
        <w:rPr>
          <w:szCs w:val="27"/>
        </w:rPr>
        <w:t>座</w:t>
      </w:r>
    </w:p>
    <w:p>
      <w:pPr>
        <w:spacing w:line="400" w:lineRule="exact"/>
        <w:ind w:firstLine="420" w:firstLineChars="200"/>
        <w:rPr>
          <w:rFonts w:hint="eastAsia"/>
          <w:b/>
          <w:kern w:val="0"/>
          <w:szCs w:val="21"/>
          <w:u w:val="single"/>
        </w:rPr>
      </w:pPr>
      <w:r>
        <w:rPr>
          <w:rFonts w:hint="eastAsia"/>
          <w:kern w:val="0"/>
          <w:szCs w:val="21"/>
        </w:rPr>
        <w:t>招标机构联系人：</w:t>
      </w:r>
      <w:r>
        <w:rPr>
          <w:rFonts w:hint="eastAsia" w:hAnsi="宋体"/>
          <w:szCs w:val="21"/>
        </w:rPr>
        <w:t>李勤超、黄晓慎</w:t>
      </w:r>
    </w:p>
    <w:p>
      <w:pPr>
        <w:spacing w:line="400" w:lineRule="exact"/>
        <w:ind w:firstLine="420" w:firstLineChars="200"/>
        <w:rPr>
          <w:rFonts w:hint="eastAsia"/>
          <w:b/>
          <w:kern w:val="0"/>
          <w:szCs w:val="21"/>
        </w:rPr>
      </w:pPr>
      <w:r>
        <w:rPr>
          <w:rFonts w:hint="eastAsia"/>
          <w:kern w:val="0"/>
          <w:szCs w:val="21"/>
        </w:rPr>
        <w:t>招标机构电话： （</w:t>
      </w:r>
      <w:r>
        <w:rPr>
          <w:kern w:val="0"/>
          <w:szCs w:val="21"/>
        </w:rPr>
        <w:t>0755</w:t>
      </w:r>
      <w:r>
        <w:rPr>
          <w:rFonts w:hint="eastAsia"/>
          <w:kern w:val="0"/>
          <w:szCs w:val="21"/>
        </w:rPr>
        <w:t>）</w:t>
      </w:r>
      <w:r>
        <w:rPr>
          <w:kern w:val="0"/>
        </w:rPr>
        <w:t>82949060</w:t>
      </w:r>
    </w:p>
    <w:p>
      <w:pPr>
        <w:pStyle w:val="14"/>
        <w:numPr>
          <w:ilvl w:val="0"/>
          <w:numId w:val="9"/>
        </w:numPr>
        <w:autoSpaceDE w:val="0"/>
        <w:autoSpaceDN w:val="0"/>
        <w:adjustRightInd w:val="0"/>
        <w:spacing w:line="400" w:lineRule="exact"/>
        <w:textAlignment w:val="baseline"/>
        <w:rPr>
          <w:b/>
          <w:sz w:val="21"/>
        </w:rPr>
      </w:pPr>
      <w:r>
        <w:rPr>
          <w:rFonts w:hint="eastAsia"/>
          <w:b/>
          <w:sz w:val="21"/>
        </w:rPr>
        <w:t>供应商的合格条件</w:t>
      </w:r>
    </w:p>
    <w:p>
      <w:pPr>
        <w:spacing w:line="400" w:lineRule="exact"/>
        <w:ind w:firstLine="420" w:firstLineChars="200"/>
        <w:rPr>
          <w:rFonts w:hint="eastAsia"/>
        </w:rPr>
      </w:pPr>
      <w:r>
        <w:rPr>
          <w:rFonts w:hint="eastAsia"/>
        </w:rPr>
        <w:t>5</w:t>
      </w:r>
      <w:r>
        <w:t xml:space="preserve">.1 </w:t>
      </w:r>
      <w:r>
        <w:rPr>
          <w:rFonts w:hint="eastAsia"/>
        </w:rPr>
        <w:t xml:space="preserve"> 在招标机构登记并购买了《竞争性磋商文件》的供应商，且满足本项目对供应商具体的资格要求。本项目对供应商的具体资格要求详见</w:t>
      </w:r>
      <w:r>
        <w:rPr>
          <w:rFonts w:hint="eastAsia"/>
          <w:szCs w:val="21"/>
        </w:rPr>
        <w:t>第二章《项目要求》部分</w:t>
      </w:r>
      <w:r>
        <w:rPr>
          <w:rFonts w:hint="eastAsia"/>
        </w:rPr>
        <w:t>。</w:t>
      </w:r>
    </w:p>
    <w:p>
      <w:pPr>
        <w:spacing w:line="400" w:lineRule="exact"/>
        <w:ind w:firstLine="420" w:firstLineChars="200"/>
        <w:rPr>
          <w:rFonts w:hint="eastAsia"/>
        </w:rPr>
      </w:pPr>
      <w:r>
        <w:rPr>
          <w:rFonts w:hint="eastAsia"/>
        </w:rPr>
        <w:t>5</w:t>
      </w:r>
      <w:r>
        <w:t>.</w:t>
      </w:r>
      <w:r>
        <w:rPr>
          <w:rFonts w:hint="eastAsia"/>
        </w:rPr>
        <w:t xml:space="preserve">2 </w:t>
      </w:r>
      <w:r>
        <w:t xml:space="preserve"> </w:t>
      </w:r>
      <w:r>
        <w:rPr>
          <w:rFonts w:hint="eastAsia"/>
        </w:rPr>
        <w:t>在法律上和财务上独立、合法运作并独立于采购人和招标机构的供货人均可参加磋商。采购人的任何不具独立法人资格的附属机构（单位），无资格参加该项目的磋商。</w:t>
      </w:r>
    </w:p>
    <w:p>
      <w:pPr>
        <w:spacing w:line="400" w:lineRule="exact"/>
        <w:ind w:firstLine="420" w:firstLineChars="200"/>
        <w:rPr>
          <w:rFonts w:hint="eastAsia"/>
        </w:rPr>
      </w:pPr>
      <w:r>
        <w:rPr>
          <w:rFonts w:hint="eastAsia"/>
        </w:rPr>
        <w:t>5.3  供应商须向采购人提供真实、充分和有效的证明材料，采购人将根据供应商按照竞争性磋商文件要求的格式提供的证明资料以及采购人认为必要的和合适的其他文件资料进行审查。供应商须回答竞争性磋商文件及格式表格中提出的全部问题，任何缺项将可能影响其磋商应答的评审结果。</w:t>
      </w:r>
    </w:p>
    <w:p>
      <w:pPr>
        <w:pStyle w:val="14"/>
        <w:numPr>
          <w:ilvl w:val="0"/>
          <w:numId w:val="9"/>
        </w:numPr>
        <w:autoSpaceDE w:val="0"/>
        <w:autoSpaceDN w:val="0"/>
        <w:adjustRightInd w:val="0"/>
        <w:spacing w:line="400" w:lineRule="exact"/>
        <w:textAlignment w:val="baseline"/>
        <w:rPr>
          <w:rFonts w:hint="eastAsia"/>
          <w:b/>
          <w:sz w:val="21"/>
        </w:rPr>
      </w:pPr>
      <w:bookmarkStart w:id="111" w:name="Zongze7hege6"/>
      <w:bookmarkEnd w:id="111"/>
      <w:r>
        <w:rPr>
          <w:rFonts w:hint="eastAsia"/>
          <w:b/>
          <w:sz w:val="21"/>
        </w:rPr>
        <w:t>合格的服务</w:t>
      </w:r>
    </w:p>
    <w:p>
      <w:pPr>
        <w:pStyle w:val="11"/>
        <w:spacing w:after="93" w:line="400" w:lineRule="exact"/>
        <w:ind w:firstLine="420"/>
        <w:rPr>
          <w:rFonts w:hint="eastAsia" w:ascii="Times New Roman" w:eastAsia="宋体"/>
          <w:sz w:val="21"/>
        </w:rPr>
      </w:pPr>
      <w:r>
        <w:rPr>
          <w:rFonts w:ascii="Times New Roman" w:hAnsi="Times New Roman" w:eastAsia="宋体"/>
          <w:sz w:val="21"/>
        </w:rPr>
        <w:t xml:space="preserve">6.1  </w:t>
      </w:r>
      <w:r>
        <w:rPr>
          <w:rFonts w:ascii="Times New Roman" w:eastAsia="宋体"/>
          <w:sz w:val="21"/>
        </w:rPr>
        <w:t>本项目为服务</w:t>
      </w:r>
      <w:r>
        <w:rPr>
          <w:rFonts w:hint="eastAsia" w:ascii="Times New Roman" w:eastAsia="宋体"/>
          <w:sz w:val="21"/>
        </w:rPr>
        <w:t>类</w:t>
      </w:r>
      <w:r>
        <w:rPr>
          <w:rFonts w:ascii="Times New Roman" w:eastAsia="宋体"/>
          <w:sz w:val="21"/>
        </w:rPr>
        <w:t>竞争性磋商采购。</w:t>
      </w:r>
    </w:p>
    <w:p>
      <w:pPr>
        <w:pStyle w:val="11"/>
        <w:spacing w:after="93" w:line="400" w:lineRule="exact"/>
        <w:ind w:firstLine="420"/>
        <w:rPr>
          <w:rFonts w:hint="eastAsia" w:ascii="Times New Roman" w:hAnsi="Times New Roman" w:eastAsia="宋体"/>
          <w:sz w:val="21"/>
        </w:rPr>
      </w:pPr>
      <w:r>
        <w:rPr>
          <w:rFonts w:ascii="Times New Roman" w:hAnsi="Times New Roman" w:eastAsia="宋体"/>
          <w:sz w:val="21"/>
        </w:rPr>
        <w:t>6.</w:t>
      </w:r>
      <w:r>
        <w:rPr>
          <w:rFonts w:hint="eastAsia" w:ascii="Times New Roman" w:hAnsi="Times New Roman" w:eastAsia="宋体"/>
          <w:sz w:val="21"/>
        </w:rPr>
        <w:t>2</w:t>
      </w:r>
      <w:r>
        <w:rPr>
          <w:rFonts w:ascii="Times New Roman" w:hAnsi="Times New Roman" w:eastAsia="宋体"/>
          <w:sz w:val="21"/>
        </w:rPr>
        <w:t xml:space="preserve">  </w:t>
      </w:r>
      <w:r>
        <w:rPr>
          <w:rFonts w:hint="eastAsia" w:ascii="Times New Roman" w:eastAsia="宋体"/>
          <w:sz w:val="21"/>
        </w:rPr>
        <w:t>成交供应商须为采购人提供相关</w:t>
      </w:r>
      <w:r>
        <w:rPr>
          <w:rFonts w:ascii="Times New Roman" w:eastAsia="宋体"/>
          <w:sz w:val="21"/>
        </w:rPr>
        <w:t>服务。</w:t>
      </w:r>
    </w:p>
    <w:p>
      <w:pPr>
        <w:pStyle w:val="14"/>
        <w:numPr>
          <w:ilvl w:val="0"/>
          <w:numId w:val="9"/>
        </w:numPr>
        <w:autoSpaceDE w:val="0"/>
        <w:autoSpaceDN w:val="0"/>
        <w:adjustRightInd w:val="0"/>
        <w:spacing w:line="400" w:lineRule="exact"/>
        <w:textAlignment w:val="baseline"/>
        <w:rPr>
          <w:b/>
          <w:sz w:val="21"/>
        </w:rPr>
      </w:pPr>
      <w:r>
        <w:rPr>
          <w:rFonts w:hint="eastAsia"/>
          <w:b/>
          <w:sz w:val="21"/>
        </w:rPr>
        <w:t>参加磋商费用</w:t>
      </w:r>
    </w:p>
    <w:p>
      <w:pPr>
        <w:spacing w:line="400" w:lineRule="exact"/>
        <w:ind w:firstLine="315" w:firstLineChars="150"/>
        <w:rPr>
          <w:rFonts w:hint="eastAsia"/>
        </w:rPr>
      </w:pPr>
      <w:r>
        <w:t xml:space="preserve"> 供应商</w:t>
      </w:r>
      <w:r>
        <w:rPr>
          <w:rFonts w:hint="eastAsia"/>
        </w:rPr>
        <w:t>须自行</w:t>
      </w:r>
      <w:r>
        <w:t>承担</w:t>
      </w:r>
      <w:r>
        <w:rPr>
          <w:rFonts w:hint="eastAsia"/>
        </w:rPr>
        <w:t>参加磋商所发生的全部费用。</w:t>
      </w:r>
      <w:r>
        <w:t>不论</w:t>
      </w:r>
      <w:r>
        <w:rPr>
          <w:rFonts w:hint="eastAsia"/>
        </w:rPr>
        <w:t>磋商</w:t>
      </w:r>
      <w:r>
        <w:t>的结果如何，招标机构和采购人均无义务和责任承担这些费用。</w:t>
      </w:r>
    </w:p>
    <w:p>
      <w:pPr>
        <w:spacing w:line="400" w:lineRule="exact"/>
        <w:ind w:firstLine="315" w:firstLineChars="150"/>
        <w:rPr>
          <w:rFonts w:hint="eastAsia"/>
        </w:rPr>
      </w:pPr>
    </w:p>
    <w:p>
      <w:pPr>
        <w:rPr>
          <w:rFonts w:hint="eastAsia" w:ascii="宋体" w:hAnsi="宋体"/>
          <w:b/>
          <w:sz w:val="28"/>
        </w:rPr>
      </w:pPr>
      <w:r>
        <w:rPr>
          <w:rFonts w:hint="eastAsia" w:ascii="宋体" w:hAnsi="宋体"/>
          <w:b/>
          <w:sz w:val="28"/>
        </w:rPr>
        <w:t>二  竞争性磋商文件</w:t>
      </w:r>
      <w:bookmarkStart w:id="112" w:name="_Hlt97712865"/>
      <w:bookmarkEnd w:id="112"/>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竞争性磋商文件的构成</w:t>
      </w:r>
    </w:p>
    <w:p>
      <w:pPr>
        <w:spacing w:line="400" w:lineRule="exact"/>
        <w:ind w:firstLine="420" w:firstLineChars="200"/>
        <w:rPr>
          <w:rFonts w:hint="eastAsia"/>
        </w:rPr>
      </w:pPr>
      <w:r>
        <w:rPr>
          <w:rFonts w:hint="eastAsia"/>
        </w:rPr>
        <w:t>8</w:t>
      </w:r>
      <w:r>
        <w:t xml:space="preserve">.1 </w:t>
      </w:r>
      <w:r>
        <w:rPr>
          <w:rFonts w:hint="eastAsia"/>
        </w:rPr>
        <w:t xml:space="preserve"> 本竞争性磋商文件仅适用于本次竞争性磋商公告中所叙述的项目。</w:t>
      </w:r>
    </w:p>
    <w:p>
      <w:pPr>
        <w:spacing w:line="400" w:lineRule="exact"/>
        <w:ind w:firstLine="420" w:firstLineChars="200"/>
        <w:rPr>
          <w:rFonts w:hint="eastAsia"/>
        </w:rPr>
      </w:pPr>
      <w:r>
        <w:rPr>
          <w:rFonts w:hint="eastAsia"/>
        </w:rPr>
        <w:t>8.2  除本款下述内容外，招标机构在采购期间发出的图纸、补遗书和其他正式有效函件，均是竞争性磋商文件的组成部分。</w:t>
      </w:r>
    </w:p>
    <w:p>
      <w:pPr>
        <w:spacing w:line="400" w:lineRule="exact"/>
        <w:ind w:firstLine="525" w:firstLineChars="250"/>
        <w:rPr>
          <w:rFonts w:hint="eastAsia"/>
        </w:rPr>
      </w:pPr>
      <w:r>
        <w:rPr>
          <w:rFonts w:hint="eastAsia"/>
        </w:rPr>
        <w:t>各章节内容如下：  章   次         内   容</w:t>
      </w:r>
    </w:p>
    <w:p>
      <w:pPr>
        <w:tabs>
          <w:tab w:val="left" w:pos="1620"/>
          <w:tab w:val="left" w:pos="1800"/>
        </w:tabs>
        <w:spacing w:line="400" w:lineRule="exact"/>
        <w:ind w:firstLine="2415" w:firstLineChars="1150"/>
        <w:rPr>
          <w:rFonts w:hint="eastAsia"/>
        </w:rPr>
      </w:pPr>
      <w:r>
        <w:rPr>
          <w:rFonts w:hint="eastAsia"/>
        </w:rPr>
        <w:t>第一章         磋商邀请</w:t>
      </w:r>
    </w:p>
    <w:p>
      <w:pPr>
        <w:tabs>
          <w:tab w:val="left" w:pos="1620"/>
          <w:tab w:val="left" w:pos="1800"/>
        </w:tabs>
        <w:spacing w:line="400" w:lineRule="exact"/>
        <w:ind w:firstLine="2415" w:firstLineChars="1150"/>
        <w:rPr>
          <w:rFonts w:hint="eastAsia"/>
        </w:rPr>
      </w:pPr>
      <w:r>
        <w:rPr>
          <w:rFonts w:hint="eastAsia"/>
        </w:rPr>
        <w:t>第二章         项目要求</w:t>
      </w:r>
    </w:p>
    <w:p>
      <w:pPr>
        <w:tabs>
          <w:tab w:val="left" w:pos="1620"/>
          <w:tab w:val="left" w:pos="1800"/>
        </w:tabs>
        <w:spacing w:line="400" w:lineRule="exact"/>
        <w:ind w:firstLine="2415" w:firstLineChars="1150"/>
        <w:rPr>
          <w:rFonts w:hint="eastAsia"/>
        </w:rPr>
      </w:pPr>
      <w:r>
        <w:rPr>
          <w:rFonts w:hint="eastAsia"/>
        </w:rPr>
        <w:t>第三章         评审办法</w:t>
      </w:r>
    </w:p>
    <w:p>
      <w:pPr>
        <w:tabs>
          <w:tab w:val="left" w:pos="1620"/>
          <w:tab w:val="left" w:pos="1800"/>
        </w:tabs>
        <w:spacing w:line="400" w:lineRule="exact"/>
        <w:ind w:firstLine="2415" w:firstLineChars="1150"/>
        <w:rPr>
          <w:rFonts w:hint="eastAsia"/>
        </w:rPr>
      </w:pPr>
      <w:r>
        <w:rPr>
          <w:rFonts w:hint="eastAsia"/>
        </w:rPr>
        <w:t>第四章         磋商应答文件格式</w:t>
      </w:r>
    </w:p>
    <w:p>
      <w:pPr>
        <w:tabs>
          <w:tab w:val="left" w:pos="1620"/>
          <w:tab w:val="left" w:pos="1800"/>
        </w:tabs>
        <w:spacing w:line="400" w:lineRule="exact"/>
        <w:ind w:firstLine="2415" w:firstLineChars="1150"/>
        <w:rPr>
          <w:rFonts w:hint="eastAsia"/>
        </w:rPr>
      </w:pPr>
      <w:r>
        <w:rPr>
          <w:rFonts w:hint="eastAsia"/>
        </w:rPr>
        <w:t>第五章         供应商须知</w:t>
      </w:r>
    </w:p>
    <w:p>
      <w:pPr>
        <w:tabs>
          <w:tab w:val="left" w:pos="1620"/>
          <w:tab w:val="left" w:pos="1800"/>
        </w:tabs>
        <w:spacing w:line="400" w:lineRule="exact"/>
        <w:ind w:firstLine="2415" w:firstLineChars="1150"/>
        <w:rPr>
          <w:rFonts w:hint="eastAsia"/>
        </w:rPr>
      </w:pPr>
      <w:r>
        <w:rPr>
          <w:rFonts w:hint="eastAsia"/>
        </w:rPr>
        <w:t>第六章         参考合同及履约评价表</w:t>
      </w:r>
    </w:p>
    <w:p>
      <w:pPr>
        <w:spacing w:line="400" w:lineRule="exact"/>
        <w:ind w:firstLine="420" w:firstLineChars="200"/>
        <w:rPr>
          <w:rFonts w:hint="eastAsia"/>
        </w:rPr>
      </w:pPr>
      <w:r>
        <w:rPr>
          <w:rFonts w:hint="eastAsia"/>
        </w:rPr>
        <w:t>8</w:t>
      </w:r>
      <w:r>
        <w:t>.</w:t>
      </w:r>
      <w:r>
        <w:rPr>
          <w:rFonts w:hint="eastAsia"/>
        </w:rPr>
        <w:t>3</w:t>
      </w:r>
      <w:r>
        <w:t xml:space="preserve">  </w:t>
      </w:r>
      <w:r>
        <w:rPr>
          <w:rFonts w:hint="eastAsia"/>
        </w:rPr>
        <w:t>供应商须认真阅读竞争性磋商文件中所有事项并认真检查竞争性磋商文件是否完整，若发现有缺页或附件不全时，应及时向招标机构提出，以便补齐。</w:t>
      </w:r>
    </w:p>
    <w:p>
      <w:pPr>
        <w:spacing w:line="400" w:lineRule="exact"/>
        <w:ind w:firstLine="420" w:firstLineChars="200"/>
        <w:rPr>
          <w:rFonts w:hint="eastAsia"/>
        </w:rPr>
      </w:pPr>
      <w:r>
        <w:rPr>
          <w:rFonts w:hint="eastAsia"/>
        </w:rPr>
        <w:t xml:space="preserve">8.4 </w:t>
      </w:r>
      <w:r>
        <w:t xml:space="preserve"> </w:t>
      </w:r>
      <w:bookmarkStart w:id="113" w:name="Zongze8chengqing9"/>
      <w:bookmarkEnd w:id="113"/>
      <w:r>
        <w:rPr>
          <w:rFonts w:hint="eastAsia"/>
        </w:rPr>
        <w:t>竞争性磋商文件的澄清</w:t>
      </w:r>
    </w:p>
    <w:p>
      <w:pPr>
        <w:spacing w:line="400" w:lineRule="exact"/>
        <w:ind w:firstLine="525" w:firstLineChars="250"/>
        <w:rPr>
          <w:rFonts w:hint="eastAsia"/>
        </w:rPr>
      </w:pPr>
      <w:r>
        <w:rPr>
          <w:rFonts w:hint="eastAsia"/>
          <w:szCs w:val="21"/>
        </w:rPr>
        <w:t>8.4.1 任何要求对</w:t>
      </w:r>
      <w:r>
        <w:rPr>
          <w:rFonts w:hint="eastAsia"/>
        </w:rPr>
        <w:t>竞争性磋商</w:t>
      </w:r>
      <w:r>
        <w:rPr>
          <w:rFonts w:hint="eastAsia"/>
          <w:szCs w:val="21"/>
        </w:rPr>
        <w:t>文件进行澄清的供应商，均应于第一章《磋商邀请》中所述答疑截止时间前以书面形式通知招标机构和采购人。招标机构对其在答疑截止时间以前收到的对</w:t>
      </w:r>
      <w:r>
        <w:rPr>
          <w:rFonts w:hint="eastAsia"/>
        </w:rPr>
        <w:t>竞争性磋商</w:t>
      </w:r>
      <w:r>
        <w:rPr>
          <w:rFonts w:hint="eastAsia"/>
          <w:szCs w:val="21"/>
        </w:rPr>
        <w:t>文件的澄清要求均以书面</w:t>
      </w:r>
      <w:r>
        <w:rPr>
          <w:rFonts w:hint="eastAsia" w:ascii="宋体" w:hAnsi="宋体"/>
          <w:szCs w:val="21"/>
        </w:rPr>
        <w:t>形式</w:t>
      </w:r>
      <w:r>
        <w:rPr>
          <w:rFonts w:hint="eastAsia"/>
          <w:szCs w:val="21"/>
        </w:rPr>
        <w:t>予以答复，同时将答复</w:t>
      </w:r>
      <w:r>
        <w:rPr>
          <w:rFonts w:hint="eastAsia"/>
        </w:rPr>
        <w:t>以</w:t>
      </w:r>
      <w:r>
        <w:rPr>
          <w:rFonts w:hint="eastAsia"/>
          <w:szCs w:val="21"/>
        </w:rPr>
        <w:t>书面</w:t>
      </w:r>
      <w:r>
        <w:rPr>
          <w:rFonts w:hint="eastAsia" w:ascii="宋体" w:hAnsi="宋体"/>
          <w:szCs w:val="21"/>
        </w:rPr>
        <w:t>形式</w:t>
      </w:r>
      <w:r>
        <w:rPr>
          <w:rFonts w:hint="eastAsia"/>
          <w:szCs w:val="21"/>
        </w:rPr>
        <w:t>发给每个已购买</w:t>
      </w:r>
      <w:r>
        <w:rPr>
          <w:rFonts w:hint="eastAsia"/>
        </w:rPr>
        <w:t>竞争性磋商</w:t>
      </w:r>
      <w:r>
        <w:rPr>
          <w:rFonts w:hint="eastAsia"/>
          <w:szCs w:val="21"/>
        </w:rPr>
        <w:t>文件的供应商（答复中不包括问题的来源）。供应商在</w:t>
      </w:r>
      <w:r>
        <w:rPr>
          <w:rFonts w:hint="eastAsia"/>
        </w:rPr>
        <w:t>收到</w:t>
      </w:r>
      <w:r>
        <w:rPr>
          <w:rFonts w:hint="eastAsia"/>
          <w:szCs w:val="21"/>
        </w:rPr>
        <w:t>澄清</w:t>
      </w:r>
      <w:r>
        <w:rPr>
          <w:rFonts w:hint="eastAsia"/>
        </w:rPr>
        <w:t>答复后须立即确认，并以传真等</w:t>
      </w:r>
      <w:r>
        <w:rPr>
          <w:rFonts w:hint="eastAsia"/>
          <w:szCs w:val="21"/>
        </w:rPr>
        <w:t>书面</w:t>
      </w:r>
      <w:r>
        <w:rPr>
          <w:rFonts w:hint="eastAsia"/>
        </w:rPr>
        <w:t>形式通知招标机构。</w:t>
      </w:r>
      <w:r>
        <w:rPr>
          <w:rFonts w:hint="eastAsia"/>
          <w:szCs w:val="21"/>
        </w:rPr>
        <w:t>对于没有提出澄清又参与了该项目磋商的供应商将被视为完全认同该</w:t>
      </w:r>
      <w:r>
        <w:rPr>
          <w:rFonts w:hint="eastAsia"/>
        </w:rPr>
        <w:t>竞争性磋商</w:t>
      </w:r>
      <w:r>
        <w:rPr>
          <w:rFonts w:hint="eastAsia"/>
          <w:szCs w:val="21"/>
        </w:rPr>
        <w:t>文件</w:t>
      </w:r>
      <w:r>
        <w:rPr>
          <w:rFonts w:hint="eastAsia"/>
        </w:rPr>
        <w:t>，递交磋商应答文件截止日期后</w:t>
      </w:r>
      <w:r>
        <w:rPr>
          <w:rFonts w:hint="eastAsia"/>
          <w:szCs w:val="21"/>
        </w:rPr>
        <w:t>不再受理针对</w:t>
      </w:r>
      <w:r>
        <w:rPr>
          <w:rFonts w:hint="eastAsia"/>
        </w:rPr>
        <w:t>竞争性磋商</w:t>
      </w:r>
      <w:r>
        <w:rPr>
          <w:rFonts w:hint="eastAsia"/>
          <w:szCs w:val="21"/>
        </w:rPr>
        <w:t>文件的相关投诉。</w:t>
      </w:r>
    </w:p>
    <w:p>
      <w:pPr>
        <w:spacing w:line="400" w:lineRule="exact"/>
        <w:ind w:firstLine="420" w:firstLineChars="200"/>
        <w:rPr>
          <w:rFonts w:hint="eastAsia"/>
        </w:rPr>
      </w:pPr>
      <w:r>
        <w:rPr>
          <w:rFonts w:hint="eastAsia"/>
        </w:rPr>
        <w:t>8.5  竞争性磋商文件的修改</w:t>
      </w:r>
    </w:p>
    <w:p>
      <w:pPr>
        <w:spacing w:line="400" w:lineRule="exact"/>
        <w:ind w:firstLine="525" w:firstLineChars="250"/>
        <w:rPr>
          <w:rFonts w:hint="eastAsia"/>
        </w:rPr>
      </w:pPr>
      <w:r>
        <w:rPr>
          <w:rFonts w:hint="eastAsia"/>
          <w:szCs w:val="21"/>
        </w:rPr>
        <w:t xml:space="preserve">8.5.1 </w:t>
      </w:r>
      <w:r>
        <w:rPr>
          <w:rFonts w:hint="eastAsia"/>
        </w:rPr>
        <w:t>在递交磋商应答文件截止日期前，采购人可主动地或依据</w:t>
      </w:r>
      <w:r>
        <w:rPr>
          <w:rFonts w:hint="eastAsia"/>
          <w:szCs w:val="21"/>
        </w:rPr>
        <w:t>供应商</w:t>
      </w:r>
      <w:r>
        <w:rPr>
          <w:rFonts w:hint="eastAsia"/>
        </w:rPr>
        <w:t>要求澄清的问题对竞争性磋商文件进行修改。修改文件作为竞争性磋商文件的组成部分对所有</w:t>
      </w:r>
      <w:r>
        <w:rPr>
          <w:rFonts w:hint="eastAsia"/>
          <w:szCs w:val="21"/>
        </w:rPr>
        <w:t>供应商</w:t>
      </w:r>
      <w:r>
        <w:rPr>
          <w:rFonts w:hint="eastAsia"/>
        </w:rPr>
        <w:t>都有约束力，将以</w:t>
      </w:r>
      <w:r>
        <w:rPr>
          <w:rFonts w:hint="eastAsia"/>
          <w:szCs w:val="21"/>
        </w:rPr>
        <w:t>书面</w:t>
      </w:r>
      <w:r>
        <w:rPr>
          <w:rFonts w:hint="eastAsia" w:ascii="宋体" w:hAnsi="宋体"/>
          <w:szCs w:val="21"/>
        </w:rPr>
        <w:t>形式</w:t>
      </w:r>
      <w:r>
        <w:rPr>
          <w:rFonts w:hint="eastAsia"/>
        </w:rPr>
        <w:t>通知所有购买竞争性磋商文件的</w:t>
      </w:r>
      <w:r>
        <w:rPr>
          <w:rFonts w:hint="eastAsia"/>
          <w:szCs w:val="21"/>
        </w:rPr>
        <w:t>供应商</w:t>
      </w:r>
      <w:r>
        <w:rPr>
          <w:rFonts w:hint="eastAsia"/>
        </w:rPr>
        <w:t>，</w:t>
      </w:r>
      <w:r>
        <w:rPr>
          <w:rFonts w:hint="eastAsia"/>
          <w:szCs w:val="21"/>
        </w:rPr>
        <w:t>供应商</w:t>
      </w:r>
      <w:r>
        <w:rPr>
          <w:rFonts w:hint="eastAsia"/>
        </w:rPr>
        <w:t>每次收到修改通知后须立即以传真等书面的形式通知采购人。</w:t>
      </w:r>
    </w:p>
    <w:p>
      <w:pPr>
        <w:spacing w:line="400" w:lineRule="exact"/>
        <w:ind w:firstLine="525" w:firstLineChars="250"/>
        <w:rPr>
          <w:rFonts w:hint="eastAsia"/>
        </w:rPr>
      </w:pPr>
      <w:r>
        <w:rPr>
          <w:rFonts w:hint="eastAsia"/>
        </w:rPr>
        <w:t>8.5.2 为使</w:t>
      </w:r>
      <w:r>
        <w:rPr>
          <w:rFonts w:hint="eastAsia"/>
          <w:szCs w:val="21"/>
        </w:rPr>
        <w:t>供应商</w:t>
      </w:r>
      <w:r>
        <w:rPr>
          <w:rFonts w:hint="eastAsia"/>
        </w:rPr>
        <w:t>在准备磋商应答文件时有合理的时间考虑竞争性磋商文件的修改，采购人可酌情推迟磋商开始时间，并以书面形式通知已购买竞争性磋商文件的</w:t>
      </w:r>
      <w:r>
        <w:rPr>
          <w:rFonts w:hint="eastAsia"/>
          <w:szCs w:val="21"/>
        </w:rPr>
        <w:t>供应商</w:t>
      </w:r>
      <w:r>
        <w:rPr>
          <w:rFonts w:hint="eastAsia"/>
        </w:rPr>
        <w:t>。</w:t>
      </w:r>
    </w:p>
    <w:p>
      <w:pPr>
        <w:spacing w:line="360" w:lineRule="auto"/>
        <w:ind w:firstLine="420" w:firstLineChars="200"/>
        <w:rPr>
          <w:rFonts w:hint="eastAsia"/>
        </w:rPr>
      </w:pPr>
    </w:p>
    <w:p>
      <w:pPr>
        <w:rPr>
          <w:rFonts w:hint="eastAsia" w:ascii="宋体" w:hAnsi="宋体"/>
          <w:b/>
          <w:sz w:val="28"/>
        </w:rPr>
      </w:pPr>
      <w:r>
        <w:rPr>
          <w:rFonts w:hint="eastAsia" w:ascii="宋体" w:hAnsi="宋体"/>
          <w:b/>
          <w:sz w:val="28"/>
        </w:rPr>
        <w:t>三  磋商应答文件的编制</w:t>
      </w:r>
    </w:p>
    <w:p>
      <w:pPr>
        <w:pStyle w:val="14"/>
        <w:numPr>
          <w:ilvl w:val="0"/>
          <w:numId w:val="9"/>
        </w:numPr>
        <w:autoSpaceDE w:val="0"/>
        <w:autoSpaceDN w:val="0"/>
        <w:adjustRightInd w:val="0"/>
        <w:spacing w:line="400" w:lineRule="exact"/>
        <w:textAlignment w:val="baseline"/>
        <w:rPr>
          <w:rFonts w:hint="eastAsia"/>
          <w:b/>
          <w:sz w:val="21"/>
        </w:rPr>
      </w:pPr>
      <w:bookmarkStart w:id="114" w:name="Zongze8yuyian11"/>
      <w:bookmarkEnd w:id="114"/>
      <w:r>
        <w:rPr>
          <w:rFonts w:hint="eastAsia"/>
          <w:b/>
          <w:sz w:val="21"/>
        </w:rPr>
        <w:t>磋商应答的语言、计量单位</w:t>
      </w:r>
    </w:p>
    <w:p>
      <w:pPr>
        <w:pStyle w:val="22"/>
        <w:spacing w:line="400" w:lineRule="exact"/>
        <w:ind w:firstLine="420" w:firstLineChars="200"/>
      </w:pPr>
      <w:r>
        <w:t>9.1  供应商提交的磋商应答文件以及供应商与招标机构和采购人就有关磋商所有来往函电均应使用中文书写。对于任何非中文的资料，都应提供中文翻译本，在解释时以翻译本为准。</w:t>
      </w:r>
    </w:p>
    <w:p>
      <w:pPr>
        <w:pStyle w:val="22"/>
        <w:spacing w:line="400" w:lineRule="exact"/>
        <w:ind w:firstLine="420" w:firstLineChars="200"/>
      </w:pPr>
      <w:r>
        <w:t>9.2  除在竞争性磋商文件的技术要求中另有规定外，计量单位应使用中华人民共和国法定计量单位。</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磋商应答文件</w:t>
      </w:r>
    </w:p>
    <w:p>
      <w:pPr>
        <w:spacing w:line="400" w:lineRule="exact"/>
        <w:ind w:firstLine="315" w:firstLineChars="150"/>
        <w:rPr>
          <w:rFonts w:hint="eastAsia"/>
        </w:rPr>
      </w:pPr>
      <w:r>
        <w:t>1</w:t>
      </w:r>
      <w:r>
        <w:rPr>
          <w:rFonts w:hint="eastAsia"/>
        </w:rPr>
        <w:t>0</w:t>
      </w:r>
      <w:r>
        <w:t xml:space="preserve">.1  </w:t>
      </w:r>
      <w:r>
        <w:rPr>
          <w:rFonts w:hint="eastAsia"/>
        </w:rPr>
        <w:t>供应商编写的磋商应答文件应包括下列部分：</w:t>
      </w:r>
    </w:p>
    <w:p>
      <w:pPr>
        <w:numPr>
          <w:ilvl w:val="0"/>
          <w:numId w:val="10"/>
        </w:numPr>
        <w:spacing w:line="400" w:lineRule="exact"/>
        <w:rPr>
          <w:rFonts w:hint="eastAsia"/>
        </w:rPr>
      </w:pPr>
      <w:r>
        <w:rPr>
          <w:rFonts w:hint="eastAsia"/>
        </w:rPr>
        <w:t>综合评分指引表；</w:t>
      </w:r>
    </w:p>
    <w:p>
      <w:pPr>
        <w:numPr>
          <w:ilvl w:val="0"/>
          <w:numId w:val="10"/>
        </w:numPr>
        <w:spacing w:line="400" w:lineRule="exact"/>
        <w:rPr>
          <w:rFonts w:hint="eastAsia"/>
        </w:rPr>
      </w:pPr>
      <w:r>
        <w:rPr>
          <w:rFonts w:hint="eastAsia"/>
        </w:rPr>
        <w:t>磋商应答函；</w:t>
      </w:r>
    </w:p>
    <w:p>
      <w:pPr>
        <w:numPr>
          <w:ilvl w:val="0"/>
          <w:numId w:val="10"/>
        </w:numPr>
        <w:spacing w:line="400" w:lineRule="exact"/>
        <w:rPr>
          <w:rFonts w:hint="eastAsia"/>
        </w:rPr>
      </w:pPr>
      <w:r>
        <w:rPr>
          <w:rFonts w:hint="eastAsia"/>
        </w:rPr>
        <w:t>报价一览表；</w:t>
      </w:r>
    </w:p>
    <w:p>
      <w:pPr>
        <w:numPr>
          <w:ilvl w:val="0"/>
          <w:numId w:val="10"/>
        </w:numPr>
        <w:spacing w:line="400" w:lineRule="exact"/>
        <w:rPr>
          <w:rFonts w:hint="eastAsia"/>
        </w:rPr>
      </w:pPr>
      <w:r>
        <w:rPr>
          <w:rFonts w:hint="eastAsia"/>
        </w:rPr>
        <w:t>分项报价表；</w:t>
      </w:r>
    </w:p>
    <w:p>
      <w:pPr>
        <w:numPr>
          <w:ilvl w:val="0"/>
          <w:numId w:val="10"/>
        </w:numPr>
        <w:spacing w:line="400" w:lineRule="exact"/>
        <w:rPr>
          <w:rFonts w:hint="eastAsia"/>
        </w:rPr>
      </w:pPr>
      <w:r>
        <w:rPr>
          <w:rFonts w:hint="eastAsia"/>
        </w:rPr>
        <w:t>商务条款对照说明表；</w:t>
      </w:r>
    </w:p>
    <w:p>
      <w:pPr>
        <w:numPr>
          <w:ilvl w:val="0"/>
          <w:numId w:val="10"/>
        </w:numPr>
        <w:spacing w:line="400" w:lineRule="exact"/>
        <w:rPr>
          <w:rFonts w:hint="eastAsia"/>
        </w:rPr>
      </w:pPr>
      <w:r>
        <w:rPr>
          <w:rFonts w:hint="eastAsia"/>
        </w:rPr>
        <w:t>技术条款对照说明表；</w:t>
      </w:r>
    </w:p>
    <w:p>
      <w:pPr>
        <w:numPr>
          <w:ilvl w:val="0"/>
          <w:numId w:val="10"/>
        </w:numPr>
        <w:spacing w:line="400" w:lineRule="exact"/>
        <w:rPr>
          <w:rFonts w:hint="eastAsia"/>
        </w:rPr>
      </w:pPr>
      <w:r>
        <w:rPr>
          <w:rFonts w:hint="eastAsia"/>
        </w:rPr>
        <w:t>资格证明文件；</w:t>
      </w:r>
    </w:p>
    <w:p>
      <w:pPr>
        <w:numPr>
          <w:ilvl w:val="0"/>
          <w:numId w:val="10"/>
        </w:numPr>
        <w:spacing w:line="400" w:lineRule="exact"/>
        <w:rPr>
          <w:rFonts w:hint="eastAsia"/>
        </w:rPr>
      </w:pPr>
      <w:r>
        <w:rPr>
          <w:rFonts w:hint="eastAsia"/>
          <w:szCs w:val="21"/>
        </w:rPr>
        <w:t>承诺函</w:t>
      </w:r>
      <w:r>
        <w:rPr>
          <w:rFonts w:hint="eastAsia" w:hAnsi="宋体"/>
          <w:szCs w:val="21"/>
        </w:rPr>
        <w:t>；</w:t>
      </w:r>
    </w:p>
    <w:p>
      <w:pPr>
        <w:numPr>
          <w:ilvl w:val="0"/>
          <w:numId w:val="10"/>
        </w:numPr>
        <w:spacing w:line="400" w:lineRule="exact"/>
        <w:rPr>
          <w:rFonts w:hint="eastAsia"/>
          <w:szCs w:val="21"/>
        </w:rPr>
      </w:pPr>
      <w:r>
        <w:rPr>
          <w:rFonts w:hint="eastAsia"/>
          <w:szCs w:val="21"/>
        </w:rPr>
        <w:t>支付成交服务费承诺函；</w:t>
      </w:r>
    </w:p>
    <w:p>
      <w:pPr>
        <w:spacing w:line="400" w:lineRule="exact"/>
        <w:ind w:left="851"/>
        <w:rPr>
          <w:rFonts w:hint="eastAsia"/>
          <w:szCs w:val="21"/>
        </w:rPr>
      </w:pPr>
      <w:r>
        <w:rPr>
          <w:rFonts w:hint="eastAsia"/>
          <w:szCs w:val="21"/>
        </w:rPr>
        <w:t>10）评审优惠政策声明函</w:t>
      </w:r>
    </w:p>
    <w:p>
      <w:pPr>
        <w:spacing w:line="400" w:lineRule="exact"/>
        <w:ind w:left="851"/>
        <w:rPr>
          <w:szCs w:val="21"/>
        </w:rPr>
      </w:pPr>
      <w:r>
        <w:rPr>
          <w:rFonts w:hint="eastAsia"/>
          <w:szCs w:val="21"/>
        </w:rPr>
        <w:t>11）按《竞争性磋商文件》的要求，提供的其他有关文件；</w:t>
      </w:r>
    </w:p>
    <w:p>
      <w:pPr>
        <w:spacing w:line="400" w:lineRule="exact"/>
        <w:ind w:left="851"/>
        <w:rPr>
          <w:szCs w:val="21"/>
        </w:rPr>
      </w:pPr>
    </w:p>
    <w:p>
      <w:pPr>
        <w:spacing w:line="400" w:lineRule="exact"/>
        <w:ind w:firstLine="210" w:firstLineChars="100"/>
        <w:rPr>
          <w:rFonts w:hint="eastAsia"/>
        </w:rPr>
      </w:pPr>
      <w:r>
        <w:t>1</w:t>
      </w:r>
      <w:r>
        <w:rPr>
          <w:rFonts w:hint="eastAsia"/>
        </w:rPr>
        <w:t>0</w:t>
      </w:r>
      <w:r>
        <w:t xml:space="preserve">.2  </w:t>
      </w:r>
      <w:r>
        <w:rPr>
          <w:rFonts w:hint="eastAsia"/>
        </w:rPr>
        <w:t>磋商应答文件的装订和签署</w:t>
      </w:r>
    </w:p>
    <w:p>
      <w:pPr>
        <w:spacing w:line="400" w:lineRule="exact"/>
        <w:ind w:firstLine="420" w:firstLineChars="200"/>
        <w:rPr>
          <w:rFonts w:hint="eastAsia"/>
        </w:rPr>
      </w:pPr>
      <w:r>
        <w:t>1</w:t>
      </w:r>
      <w:r>
        <w:rPr>
          <w:rFonts w:hint="eastAsia"/>
        </w:rPr>
        <w:t>0</w:t>
      </w:r>
      <w:r>
        <w:t>.</w:t>
      </w:r>
      <w:r>
        <w:rPr>
          <w:rFonts w:hint="eastAsia"/>
        </w:rPr>
        <w:t>2.</w:t>
      </w:r>
      <w:r>
        <w:t xml:space="preserve">1  </w:t>
      </w:r>
      <w:r>
        <w:rPr>
          <w:rFonts w:hint="eastAsia"/>
          <w:b/>
        </w:rPr>
        <w:t>磋商应答文件</w:t>
      </w:r>
      <w:r>
        <w:rPr>
          <w:rFonts w:hint="eastAsia"/>
          <w:b/>
          <w:szCs w:val="21"/>
        </w:rPr>
        <w:t>由两部分组成，第一部分为</w:t>
      </w:r>
      <w:r>
        <w:rPr>
          <w:rFonts w:hint="eastAsia"/>
          <w:b/>
        </w:rPr>
        <w:t>一式六份</w:t>
      </w:r>
      <w:r>
        <w:rPr>
          <w:rFonts w:hint="eastAsia"/>
          <w:b/>
          <w:szCs w:val="21"/>
        </w:rPr>
        <w:t>装订成册的纸质</w:t>
      </w:r>
      <w:r>
        <w:rPr>
          <w:rFonts w:hint="eastAsia"/>
          <w:b/>
        </w:rPr>
        <w:t>磋商应答文件</w:t>
      </w:r>
      <w:r>
        <w:rPr>
          <w:rFonts w:hint="eastAsia"/>
          <w:b/>
          <w:szCs w:val="21"/>
        </w:rPr>
        <w:t>，其中，正本</w:t>
      </w:r>
      <w:r>
        <w:rPr>
          <w:rFonts w:hint="eastAsia"/>
          <w:b/>
          <w:bCs/>
          <w:szCs w:val="21"/>
        </w:rPr>
        <w:t>1</w:t>
      </w:r>
      <w:r>
        <w:rPr>
          <w:rFonts w:hint="eastAsia"/>
          <w:b/>
          <w:szCs w:val="21"/>
        </w:rPr>
        <w:t>份、副本5份；第二部分为</w:t>
      </w:r>
      <w:r>
        <w:rPr>
          <w:rFonts w:hint="eastAsia" w:hAnsi="宋体"/>
          <w:b/>
          <w:szCs w:val="21"/>
        </w:rPr>
        <w:t>以U盘为介质提交的一份电子</w:t>
      </w:r>
      <w:r>
        <w:rPr>
          <w:rFonts w:hint="eastAsia"/>
          <w:b/>
        </w:rPr>
        <w:t>磋商应答文件</w:t>
      </w:r>
      <w:r>
        <w:rPr>
          <w:rFonts w:hint="eastAsia" w:hAnsi="宋体"/>
          <w:b/>
          <w:szCs w:val="21"/>
        </w:rPr>
        <w:t>。</w:t>
      </w:r>
    </w:p>
    <w:p>
      <w:pPr>
        <w:spacing w:line="400" w:lineRule="exact"/>
        <w:ind w:firstLine="420" w:firstLineChars="200"/>
        <w:rPr>
          <w:rFonts w:hint="eastAsia"/>
          <w:b/>
        </w:rPr>
      </w:pPr>
      <w:r>
        <w:t>1</w:t>
      </w:r>
      <w:r>
        <w:rPr>
          <w:rFonts w:hint="eastAsia"/>
        </w:rPr>
        <w:t>0</w:t>
      </w:r>
      <w:r>
        <w:t>.</w:t>
      </w:r>
      <w:r>
        <w:rPr>
          <w:rFonts w:hint="eastAsia"/>
        </w:rPr>
        <w:t>2.2</w:t>
      </w:r>
      <w:r>
        <w:t xml:space="preserve"> </w:t>
      </w:r>
      <w:r>
        <w:rPr>
          <w:rFonts w:hint="eastAsia"/>
        </w:rPr>
        <w:t xml:space="preserve"> </w:t>
      </w:r>
      <w:r>
        <w:rPr>
          <w:rFonts w:hint="eastAsia"/>
          <w:szCs w:val="21"/>
        </w:rPr>
        <w:t>每套</w:t>
      </w:r>
      <w:r>
        <w:rPr>
          <w:rFonts w:hint="eastAsia"/>
        </w:rPr>
        <w:t>磋商应答文件</w:t>
      </w:r>
      <w:r>
        <w:rPr>
          <w:rFonts w:hint="eastAsia"/>
          <w:szCs w:val="21"/>
        </w:rPr>
        <w:t>须清楚地标明“正本”、“副本”、“</w:t>
      </w:r>
      <w:r>
        <w:rPr>
          <w:szCs w:val="21"/>
        </w:rPr>
        <w:t>电子标书</w:t>
      </w:r>
      <w:r>
        <w:rPr>
          <w:rFonts w:hint="eastAsia"/>
          <w:szCs w:val="21"/>
        </w:rPr>
        <w:t>”</w:t>
      </w:r>
      <w:r>
        <w:rPr>
          <w:szCs w:val="21"/>
        </w:rPr>
        <w:t>字样。</w:t>
      </w:r>
      <w:r>
        <w:rPr>
          <w:rFonts w:hint="eastAsia"/>
          <w:szCs w:val="21"/>
        </w:rPr>
        <w:t>当纸质</w:t>
      </w:r>
      <w:r>
        <w:rPr>
          <w:rFonts w:hint="eastAsia"/>
        </w:rPr>
        <w:t>磋商应答文件</w:t>
      </w:r>
      <w:r>
        <w:rPr>
          <w:rFonts w:hint="eastAsia"/>
          <w:szCs w:val="21"/>
        </w:rPr>
        <w:t>正本与副本内容不一致时，以正本为准。</w:t>
      </w:r>
      <w:r>
        <w:rPr>
          <w:rFonts w:hint="eastAsia"/>
        </w:rPr>
        <w:t>磋商应答文件</w:t>
      </w:r>
      <w:r>
        <w:rPr>
          <w:rFonts w:hint="eastAsia"/>
          <w:szCs w:val="21"/>
        </w:rPr>
        <w:t>的</w:t>
      </w:r>
      <w:r>
        <w:rPr>
          <w:rFonts w:hint="eastAsia"/>
          <w:b/>
          <w:szCs w:val="21"/>
        </w:rPr>
        <w:t>副本</w:t>
      </w:r>
      <w:r>
        <w:rPr>
          <w:rFonts w:hint="eastAsia"/>
          <w:szCs w:val="21"/>
        </w:rPr>
        <w:t>可采用</w:t>
      </w:r>
      <w:r>
        <w:rPr>
          <w:rFonts w:hint="eastAsia"/>
          <w:b/>
          <w:szCs w:val="21"/>
        </w:rPr>
        <w:t>正本</w:t>
      </w:r>
      <w:r>
        <w:rPr>
          <w:rFonts w:hint="eastAsia"/>
          <w:szCs w:val="21"/>
        </w:rPr>
        <w:t>的复印件。</w:t>
      </w:r>
    </w:p>
    <w:p>
      <w:pPr>
        <w:spacing w:line="400" w:lineRule="exact"/>
        <w:ind w:firstLine="420" w:firstLineChars="200"/>
        <w:rPr>
          <w:rFonts w:hint="eastAsia" w:ascii="Arial" w:hAnsi="宋体"/>
        </w:rPr>
      </w:pPr>
      <w:r>
        <w:rPr>
          <w:rFonts w:hint="eastAsia"/>
        </w:rPr>
        <w:t>10</w:t>
      </w:r>
      <w:r>
        <w:t>.</w:t>
      </w:r>
      <w:r>
        <w:rPr>
          <w:rFonts w:hint="eastAsia"/>
        </w:rPr>
        <w:t>2.3</w:t>
      </w:r>
      <w:r>
        <w:t xml:space="preserve"> </w:t>
      </w:r>
      <w:r>
        <w:rPr>
          <w:rFonts w:hint="eastAsia"/>
        </w:rPr>
        <w:t xml:space="preserve"> 磋商应答文件的正本须打印，</w:t>
      </w:r>
      <w:r>
        <w:rPr>
          <w:rFonts w:ascii="Arial" w:hAnsi="宋体"/>
        </w:rPr>
        <w:t>正本封面须</w:t>
      </w:r>
      <w:r>
        <w:rPr>
          <w:rFonts w:hint="eastAsia" w:ascii="Arial" w:hAnsi="宋体"/>
        </w:rPr>
        <w:t>加盖公章，并由</w:t>
      </w:r>
      <w:r>
        <w:rPr>
          <w:rFonts w:ascii="Arial" w:hAnsi="宋体"/>
        </w:rPr>
        <w:t>供应商</w:t>
      </w:r>
      <w:r>
        <w:rPr>
          <w:rFonts w:hint="eastAsia" w:ascii="Arial" w:hAnsi="Arial"/>
        </w:rPr>
        <w:t>法定代表人或</w:t>
      </w:r>
      <w:r>
        <w:rPr>
          <w:rFonts w:hint="eastAsia"/>
        </w:rPr>
        <w:t>经正式授权并对供应商有约束力的代表</w:t>
      </w:r>
      <w:r>
        <w:rPr>
          <w:rFonts w:ascii="Arial" w:hAnsi="宋体"/>
        </w:rPr>
        <w:t>签字</w:t>
      </w:r>
      <w:r>
        <w:rPr>
          <w:rFonts w:hint="eastAsia" w:ascii="Arial" w:hAnsi="Arial"/>
        </w:rPr>
        <w:t>或加盖个人印鉴</w:t>
      </w:r>
      <w:r>
        <w:rPr>
          <w:rFonts w:ascii="Arial" w:hAnsi="宋体"/>
        </w:rPr>
        <w:t>。</w:t>
      </w:r>
    </w:p>
    <w:p>
      <w:pPr>
        <w:spacing w:line="400" w:lineRule="exact"/>
        <w:ind w:firstLine="420" w:firstLineChars="200"/>
        <w:rPr>
          <w:rFonts w:hint="eastAsia"/>
        </w:rPr>
      </w:pPr>
      <w:r>
        <w:rPr>
          <w:rFonts w:hint="eastAsia"/>
          <w:szCs w:val="21"/>
        </w:rPr>
        <w:t xml:space="preserve">10.2.4  </w:t>
      </w:r>
      <w:r>
        <w:rPr>
          <w:rFonts w:hint="eastAsia"/>
        </w:rPr>
        <w:t>磋商应答文件</w:t>
      </w:r>
      <w:r>
        <w:rPr>
          <w:rFonts w:hint="eastAsia"/>
          <w:szCs w:val="21"/>
        </w:rPr>
        <w:t>中</w:t>
      </w:r>
      <w:r>
        <w:rPr>
          <w:rFonts w:hint="eastAsia" w:ascii="Arial" w:hAnsi="宋体" w:cs="Arial"/>
          <w:spacing w:val="-4"/>
          <w:szCs w:val="21"/>
          <w:lang w:val="zh-CN"/>
        </w:rPr>
        <w:t>所有表格和资质证明文件</w:t>
      </w:r>
      <w:r>
        <w:rPr>
          <w:rFonts w:hint="eastAsia"/>
          <w:szCs w:val="21"/>
        </w:rPr>
        <w:t>就</w:t>
      </w:r>
      <w:r>
        <w:rPr>
          <w:rFonts w:hint="eastAsia"/>
        </w:rPr>
        <w:t>竞争性磋商文件</w:t>
      </w:r>
      <w:r>
        <w:rPr>
          <w:rFonts w:hint="eastAsia"/>
          <w:szCs w:val="21"/>
        </w:rPr>
        <w:t>第四章《磋商应答文件格式》标明签字盖章之处均</w:t>
      </w:r>
      <w:r>
        <w:rPr>
          <w:rFonts w:hint="eastAsia" w:ascii="Arial" w:hAnsi="宋体" w:cs="Arial"/>
          <w:spacing w:val="-4"/>
          <w:szCs w:val="21"/>
          <w:lang w:val="zh-CN"/>
        </w:rPr>
        <w:t>须加盖公章，</w:t>
      </w:r>
      <w:r>
        <w:rPr>
          <w:rFonts w:hint="eastAsia" w:ascii="Arial" w:hAnsi="宋体" w:cs="Arial"/>
        </w:rPr>
        <w:t>并</w:t>
      </w:r>
      <w:r>
        <w:rPr>
          <w:rFonts w:hint="eastAsia"/>
          <w:szCs w:val="21"/>
        </w:rPr>
        <w:t>由</w:t>
      </w:r>
      <w:r>
        <w:rPr>
          <w:rFonts w:ascii="Arial" w:hAnsi="宋体"/>
        </w:rPr>
        <w:t>供应商</w:t>
      </w:r>
      <w:r>
        <w:rPr>
          <w:rFonts w:hint="eastAsia"/>
          <w:szCs w:val="21"/>
        </w:rPr>
        <w:t>或经正式授权并对</w:t>
      </w:r>
      <w:r>
        <w:rPr>
          <w:rFonts w:ascii="Arial" w:hAnsi="宋体"/>
        </w:rPr>
        <w:t>供应商</w:t>
      </w:r>
      <w:r>
        <w:rPr>
          <w:rFonts w:hint="eastAsia"/>
          <w:szCs w:val="21"/>
        </w:rPr>
        <w:t>有约束力的代表</w:t>
      </w:r>
      <w:r>
        <w:rPr>
          <w:rFonts w:hint="eastAsia" w:ascii="Arial" w:hAnsi="宋体" w:cs="Arial"/>
          <w:spacing w:val="-4"/>
          <w:szCs w:val="21"/>
          <w:lang w:val="zh-CN"/>
        </w:rPr>
        <w:t>签名或加盖个人印鉴</w:t>
      </w:r>
      <w:r>
        <w:rPr>
          <w:rFonts w:hint="eastAsia"/>
          <w:szCs w:val="21"/>
        </w:rPr>
        <w:t>。</w:t>
      </w:r>
    </w:p>
    <w:p>
      <w:pPr>
        <w:spacing w:line="400" w:lineRule="exact"/>
        <w:ind w:firstLine="420" w:firstLineChars="200"/>
        <w:rPr>
          <w:rFonts w:hint="eastAsia"/>
        </w:rPr>
      </w:pPr>
      <w:r>
        <w:rPr>
          <w:rFonts w:hint="eastAsia"/>
        </w:rPr>
        <w:t>10.2.5  磋商应答文件的任何一页均不得涂改、行间插字或增删，如出现上述情况，不论何种原因造成，必须由磋商应答文件签字人在改动处小签并盖章方为有效。</w:t>
      </w:r>
    </w:p>
    <w:p>
      <w:pPr>
        <w:spacing w:line="400" w:lineRule="exact"/>
        <w:ind w:firstLine="420" w:firstLineChars="200"/>
        <w:rPr>
          <w:rFonts w:hint="eastAsia"/>
        </w:rPr>
      </w:pPr>
      <w:r>
        <w:rPr>
          <w:rFonts w:hint="eastAsia"/>
        </w:rPr>
        <w:t>10.2.6  磋商应答文件的正本与副本须分别装订成册、编制目录，并且逐页标注连续页码，否则，采购人对由于磋商应答文件装订松散而造成的丢失或其他后果不承担任何责任。</w:t>
      </w:r>
    </w:p>
    <w:p>
      <w:pPr>
        <w:spacing w:line="400" w:lineRule="exact"/>
        <w:ind w:firstLine="420" w:firstLineChars="200"/>
        <w:rPr>
          <w:rFonts w:hint="eastAsia"/>
          <w:b/>
          <w:szCs w:val="21"/>
        </w:rPr>
      </w:pPr>
      <w:r>
        <w:rPr>
          <w:rFonts w:hint="eastAsia"/>
        </w:rPr>
        <w:t xml:space="preserve">10.2.7  </w:t>
      </w:r>
      <w:r>
        <w:rPr>
          <w:rFonts w:hint="eastAsia"/>
          <w:b/>
          <w:szCs w:val="21"/>
        </w:rPr>
        <w:t>不得以投标专用章、分公司章等任何其他形式印章代替公章，否则文件无效。</w:t>
      </w:r>
    </w:p>
    <w:p>
      <w:pPr>
        <w:spacing w:line="400" w:lineRule="exact"/>
        <w:ind w:firstLine="420" w:firstLineChars="200"/>
        <w:rPr>
          <w:rFonts w:hint="eastAsia"/>
          <w:b/>
          <w:szCs w:val="21"/>
        </w:rPr>
      </w:pPr>
      <w:r>
        <w:rPr>
          <w:rFonts w:hint="eastAsia"/>
        </w:rPr>
        <w:t xml:space="preserve">10.2.8 </w:t>
      </w:r>
      <w:r>
        <w:rPr>
          <w:rFonts w:hint="eastAsia"/>
          <w:b/>
          <w:szCs w:val="21"/>
        </w:rPr>
        <w:t xml:space="preserve"> 竞争性磋商文件中</w:t>
      </w:r>
      <w:r>
        <w:rPr>
          <w:b/>
          <w:szCs w:val="21"/>
        </w:rPr>
        <w:t>除另有说明外，</w:t>
      </w:r>
      <w:r>
        <w:rPr>
          <w:rFonts w:hint="eastAsia"/>
          <w:b/>
          <w:szCs w:val="21"/>
        </w:rPr>
        <w:t>磋商应答文件</w:t>
      </w:r>
      <w:r>
        <w:rPr>
          <w:b/>
          <w:szCs w:val="21"/>
        </w:rPr>
        <w:t>格式中</w:t>
      </w:r>
      <w:r>
        <w:rPr>
          <w:rFonts w:hint="eastAsia"/>
          <w:b/>
          <w:szCs w:val="21"/>
        </w:rPr>
        <w:t>要求加</w:t>
      </w:r>
      <w:r>
        <w:rPr>
          <w:b/>
          <w:szCs w:val="21"/>
        </w:rPr>
        <w:t>盖单位公章系指</w:t>
      </w:r>
      <w:r>
        <w:rPr>
          <w:rFonts w:hint="eastAsia"/>
          <w:b/>
          <w:szCs w:val="21"/>
        </w:rPr>
        <w:t>加</w:t>
      </w:r>
      <w:r>
        <w:rPr>
          <w:b/>
          <w:szCs w:val="21"/>
        </w:rPr>
        <w:t>盖</w:t>
      </w:r>
      <w:r>
        <w:rPr>
          <w:rFonts w:hint="eastAsia"/>
          <w:b/>
          <w:szCs w:val="21"/>
        </w:rPr>
        <w:t>供应商</w:t>
      </w:r>
      <w:r>
        <w:rPr>
          <w:b/>
          <w:szCs w:val="21"/>
        </w:rPr>
        <w:t>单位公章</w:t>
      </w:r>
      <w:r>
        <w:rPr>
          <w:rFonts w:hint="eastAsia"/>
          <w:b/>
          <w:szCs w:val="21"/>
        </w:rPr>
        <w:t>。</w:t>
      </w:r>
    </w:p>
    <w:p>
      <w:pPr>
        <w:spacing w:line="400" w:lineRule="exact"/>
        <w:ind w:firstLine="420" w:firstLineChars="200"/>
        <w:rPr>
          <w:rFonts w:hint="eastAsia"/>
        </w:rPr>
      </w:pPr>
      <w:r>
        <w:rPr>
          <w:rFonts w:hint="eastAsia"/>
        </w:rPr>
        <w:t>10.2.9</w:t>
      </w:r>
      <w:r>
        <w:rPr>
          <w:rFonts w:hint="eastAsia"/>
          <w:b/>
          <w:szCs w:val="21"/>
        </w:rPr>
        <w:t xml:space="preserve">  如供应商为联合体参与磋商的，竞争性磋商文件中</w:t>
      </w:r>
      <w:r>
        <w:rPr>
          <w:b/>
          <w:szCs w:val="21"/>
        </w:rPr>
        <w:t>除另有说明外，</w:t>
      </w:r>
      <w:r>
        <w:rPr>
          <w:rFonts w:hint="eastAsia"/>
          <w:b/>
          <w:szCs w:val="21"/>
        </w:rPr>
        <w:t>磋商应答文件</w:t>
      </w:r>
      <w:r>
        <w:rPr>
          <w:b/>
          <w:szCs w:val="21"/>
        </w:rPr>
        <w:t>格式中</w:t>
      </w:r>
      <w:r>
        <w:rPr>
          <w:rFonts w:hint="eastAsia"/>
          <w:b/>
          <w:szCs w:val="21"/>
        </w:rPr>
        <w:t>要求加</w:t>
      </w:r>
      <w:r>
        <w:rPr>
          <w:b/>
          <w:szCs w:val="21"/>
        </w:rPr>
        <w:t>盖单位公章系指</w:t>
      </w:r>
      <w:r>
        <w:rPr>
          <w:rFonts w:hint="eastAsia"/>
          <w:b/>
          <w:szCs w:val="21"/>
        </w:rPr>
        <w:t>加</w:t>
      </w:r>
      <w:r>
        <w:rPr>
          <w:b/>
          <w:szCs w:val="21"/>
        </w:rPr>
        <w:t>盖联合体主办方单位公章</w:t>
      </w:r>
      <w:r>
        <w:rPr>
          <w:rFonts w:hint="eastAsia"/>
          <w:b/>
          <w:szCs w:val="21"/>
        </w:rPr>
        <w:t>（本项目不适用）</w:t>
      </w:r>
      <w:r>
        <w:rPr>
          <w:b/>
          <w:szCs w:val="21"/>
        </w:rPr>
        <w:t>。</w:t>
      </w:r>
    </w:p>
    <w:p>
      <w:pPr>
        <w:pStyle w:val="14"/>
        <w:numPr>
          <w:ilvl w:val="0"/>
          <w:numId w:val="9"/>
        </w:numPr>
        <w:autoSpaceDE w:val="0"/>
        <w:autoSpaceDN w:val="0"/>
        <w:adjustRightInd w:val="0"/>
        <w:spacing w:line="400" w:lineRule="exact"/>
        <w:textAlignment w:val="baseline"/>
        <w:rPr>
          <w:rFonts w:hint="eastAsia"/>
          <w:b/>
          <w:sz w:val="21"/>
        </w:rPr>
      </w:pPr>
      <w:bookmarkStart w:id="115" w:name="Zongze9geshi13"/>
      <w:bookmarkEnd w:id="115"/>
      <w:r>
        <w:rPr>
          <w:rFonts w:hint="eastAsia"/>
          <w:b/>
          <w:sz w:val="21"/>
        </w:rPr>
        <w:t>磋商应答文件格式</w:t>
      </w:r>
    </w:p>
    <w:p>
      <w:pPr>
        <w:spacing w:line="400" w:lineRule="exact"/>
        <w:ind w:firstLine="420" w:firstLineChars="200"/>
        <w:rPr>
          <w:rFonts w:hint="eastAsia"/>
        </w:rPr>
      </w:pPr>
      <w:r>
        <w:t>1</w:t>
      </w:r>
      <w:r>
        <w:rPr>
          <w:rFonts w:hint="eastAsia"/>
        </w:rPr>
        <w:t>1</w:t>
      </w:r>
      <w:r>
        <w:t xml:space="preserve">.1  </w:t>
      </w:r>
      <w:r>
        <w:rPr>
          <w:rFonts w:hint="eastAsia"/>
        </w:rPr>
        <w:t>供应商须按竞争性磋商文件中提供的“文件格式”填写“磋商应答函”等所有表格。</w:t>
      </w:r>
    </w:p>
    <w:p>
      <w:pPr>
        <w:spacing w:line="400" w:lineRule="exact"/>
        <w:ind w:firstLine="420" w:firstLineChars="200"/>
      </w:pPr>
      <w:r>
        <w:rPr>
          <w:rFonts w:hint="eastAsia"/>
        </w:rPr>
        <w:t>11.2  供应商可对本竞争性磋商文件中所列的各包进行报价，也可只对其中一个包或几个包进行报价（如有的话），但不得将同一包中的内容拆开报价。</w:t>
      </w:r>
      <w:r>
        <w:t xml:space="preserve"> </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报价和货币种类</w:t>
      </w:r>
    </w:p>
    <w:p>
      <w:pPr>
        <w:spacing w:line="400" w:lineRule="exact"/>
        <w:ind w:firstLine="420" w:firstLineChars="200"/>
        <w:rPr>
          <w:rFonts w:hint="eastAsia"/>
        </w:rPr>
      </w:pPr>
      <w:r>
        <w:t>1</w:t>
      </w:r>
      <w:r>
        <w:rPr>
          <w:rFonts w:hint="eastAsia"/>
        </w:rPr>
        <w:t>2</w:t>
      </w:r>
      <w:r>
        <w:t xml:space="preserve">.1  </w:t>
      </w:r>
      <w:r>
        <w:rPr>
          <w:rFonts w:hint="eastAsia"/>
        </w:rPr>
        <w:t>供应商须按</w:t>
      </w:r>
      <w:r>
        <w:rPr>
          <w:rFonts w:hint="eastAsia"/>
          <w:szCs w:val="21"/>
        </w:rPr>
        <w:t>竞争性磋商文件第二章《项目要求》</w:t>
      </w:r>
      <w:r>
        <w:rPr>
          <w:rFonts w:hint="eastAsia"/>
        </w:rPr>
        <w:t>中规定的报价方式报价。</w:t>
      </w:r>
    </w:p>
    <w:p>
      <w:pPr>
        <w:spacing w:line="400" w:lineRule="exact"/>
        <w:ind w:firstLine="420" w:firstLineChars="200"/>
        <w:rPr>
          <w:rFonts w:hint="eastAsia"/>
        </w:rPr>
      </w:pPr>
      <w:r>
        <w:rPr>
          <w:rFonts w:hint="eastAsia"/>
        </w:rPr>
        <w:t>12.2  报价须按照规定的报价表格式填写，同时，分项报价中须列明各项报价的取费依据、收费标准等，</w:t>
      </w:r>
      <w:r>
        <w:rPr>
          <w:rFonts w:hint="eastAsia"/>
          <w:b/>
          <w:u w:val="single"/>
        </w:rPr>
        <w:t>各项费用须如实填写，如已含在货物价格中，则填“含”，免费则填“免”，如无此项内容则填写“无”，不允许空白</w:t>
      </w:r>
      <w:r>
        <w:rPr>
          <w:rFonts w:hint="eastAsia"/>
          <w:b/>
        </w:rPr>
        <w:t>。</w:t>
      </w:r>
    </w:p>
    <w:p>
      <w:pPr>
        <w:spacing w:line="400" w:lineRule="exact"/>
        <w:ind w:firstLine="420" w:firstLineChars="200"/>
        <w:rPr>
          <w:rFonts w:hint="eastAsia"/>
        </w:rPr>
      </w:pPr>
      <w:r>
        <w:rPr>
          <w:rFonts w:hint="eastAsia"/>
        </w:rPr>
        <w:t>12.3  报价须包括供应商一旦被授予合同，履行合同所需的所有费用和交纳的税金。不填写的项目则被视为已包括在报价中。</w:t>
      </w:r>
    </w:p>
    <w:p>
      <w:pPr>
        <w:spacing w:line="400" w:lineRule="exact"/>
        <w:ind w:firstLine="420" w:firstLineChars="200"/>
        <w:rPr>
          <w:rFonts w:hint="eastAsia"/>
        </w:rPr>
      </w:pPr>
      <w:r>
        <w:t>1</w:t>
      </w:r>
      <w:r>
        <w:rPr>
          <w:rFonts w:hint="eastAsia"/>
        </w:rPr>
        <w:t>2</w:t>
      </w:r>
      <w:r>
        <w:t>.4  国产货物及有关服务的报价须包括向中华人民共和国政府缴纳的增值税和其他税。</w:t>
      </w:r>
    </w:p>
    <w:p>
      <w:pPr>
        <w:spacing w:line="400" w:lineRule="exact"/>
        <w:ind w:firstLine="420" w:firstLineChars="200"/>
        <w:rPr>
          <w:rFonts w:hint="eastAsia"/>
        </w:rPr>
      </w:pPr>
      <w:r>
        <w:t>1</w:t>
      </w:r>
      <w:r>
        <w:rPr>
          <w:rFonts w:hint="eastAsia"/>
        </w:rPr>
        <w:t>2</w:t>
      </w:r>
      <w:r>
        <w:t>.5  在中华人民共和国境内提供的进口货物及其有关服务的报价须包括要向中华人民共和国政府缴纳的关税、增值税和其他税。</w:t>
      </w:r>
    </w:p>
    <w:p>
      <w:pPr>
        <w:spacing w:line="400" w:lineRule="exact"/>
        <w:ind w:firstLine="420" w:firstLineChars="200"/>
        <w:rPr>
          <w:b/>
        </w:rPr>
      </w:pPr>
      <w:r>
        <w:t>1</w:t>
      </w:r>
      <w:r>
        <w:rPr>
          <w:rFonts w:hint="eastAsia"/>
        </w:rPr>
        <w:t>2</w:t>
      </w:r>
      <w:r>
        <w:t>.6  报价的货币为</w:t>
      </w:r>
      <w:r>
        <w:rPr>
          <w:b/>
        </w:rPr>
        <w:t>人民币</w:t>
      </w:r>
      <w:r>
        <w:t>。</w:t>
      </w:r>
    </w:p>
    <w:p>
      <w:pPr>
        <w:pStyle w:val="14"/>
        <w:numPr>
          <w:ilvl w:val="0"/>
          <w:numId w:val="9"/>
        </w:numPr>
        <w:autoSpaceDE w:val="0"/>
        <w:autoSpaceDN w:val="0"/>
        <w:adjustRightInd w:val="0"/>
        <w:spacing w:line="400" w:lineRule="exact"/>
        <w:textAlignment w:val="baseline"/>
        <w:rPr>
          <w:rFonts w:hint="eastAsia"/>
          <w:b/>
          <w:sz w:val="21"/>
        </w:rPr>
      </w:pPr>
      <w:bookmarkStart w:id="116" w:name="Zongze9zige15"/>
      <w:bookmarkEnd w:id="116"/>
      <w:r>
        <w:rPr>
          <w:rFonts w:hint="eastAsia"/>
          <w:b/>
          <w:sz w:val="21"/>
        </w:rPr>
        <w:t>供应商资格的证明文件</w:t>
      </w:r>
    </w:p>
    <w:p>
      <w:pPr>
        <w:spacing w:line="400" w:lineRule="exact"/>
        <w:ind w:firstLine="420" w:firstLineChars="200"/>
        <w:rPr>
          <w:rFonts w:hint="eastAsia"/>
        </w:rPr>
      </w:pPr>
      <w:r>
        <w:t>1</w:t>
      </w:r>
      <w:r>
        <w:rPr>
          <w:rFonts w:hint="eastAsia"/>
        </w:rPr>
        <w:t>3</w:t>
      </w:r>
      <w:r>
        <w:t xml:space="preserve">.1 </w:t>
      </w:r>
      <w:r>
        <w:rPr>
          <w:rFonts w:hint="eastAsia"/>
        </w:rPr>
        <w:t xml:space="preserve"> 供应商须提交证明其有资格参加报价和成交后有能力履行合同的所有文件，作为其磋商应答文件的一部分。</w:t>
      </w:r>
    </w:p>
    <w:p>
      <w:pPr>
        <w:tabs>
          <w:tab w:val="left" w:pos="1134"/>
        </w:tabs>
        <w:spacing w:line="400" w:lineRule="exact"/>
        <w:ind w:firstLine="525" w:firstLineChars="250"/>
        <w:rPr>
          <w:rFonts w:hint="eastAsia"/>
        </w:rPr>
      </w:pPr>
      <w:r>
        <w:rPr>
          <w:rFonts w:hint="eastAsia"/>
        </w:rPr>
        <w:t>1） 供应商须具有履行合同所需的财务、技术和生产能力；</w:t>
      </w:r>
    </w:p>
    <w:p>
      <w:pPr>
        <w:tabs>
          <w:tab w:val="left" w:pos="1134"/>
        </w:tabs>
        <w:spacing w:line="400" w:lineRule="exact"/>
        <w:ind w:firstLine="525" w:firstLineChars="250"/>
        <w:rPr>
          <w:rFonts w:hint="eastAsia"/>
        </w:rPr>
      </w:pPr>
      <w:r>
        <w:rPr>
          <w:rFonts w:hint="eastAsia"/>
        </w:rPr>
        <w:t>2） 供应商须有能力履行竞争性磋商文件中合同条款和技术要求规定的由卖方履行的保养、维护、修理、供应备件和其它技术服务的义务。</w:t>
      </w:r>
    </w:p>
    <w:p>
      <w:pPr>
        <w:spacing w:line="400" w:lineRule="exact"/>
        <w:ind w:firstLine="420" w:firstLineChars="200"/>
        <w:rPr>
          <w:rFonts w:hint="eastAsia"/>
        </w:rPr>
      </w:pPr>
      <w:r>
        <w:t>1</w:t>
      </w:r>
      <w:r>
        <w:rPr>
          <w:rFonts w:hint="eastAsia"/>
        </w:rPr>
        <w:t>3</w:t>
      </w:r>
      <w:r>
        <w:t>.</w:t>
      </w:r>
      <w:r>
        <w:rPr>
          <w:rFonts w:hint="eastAsia"/>
        </w:rPr>
        <w:t>2</w:t>
      </w:r>
      <w:r>
        <w:t xml:space="preserve"> </w:t>
      </w:r>
      <w:r>
        <w:rPr>
          <w:rFonts w:hint="eastAsia"/>
        </w:rPr>
        <w:t xml:space="preserve"> 供应商须符合</w:t>
      </w:r>
      <w:r>
        <w:rPr>
          <w:rFonts w:hint="eastAsia"/>
          <w:szCs w:val="21"/>
        </w:rPr>
        <w:t>第二章《项目要求》</w:t>
      </w:r>
      <w:r>
        <w:rPr>
          <w:rFonts w:hint="eastAsia"/>
        </w:rPr>
        <w:t>中规定的资格标准。</w:t>
      </w:r>
    </w:p>
    <w:p>
      <w:pPr>
        <w:spacing w:line="400" w:lineRule="exact"/>
        <w:ind w:firstLine="420" w:firstLineChars="200"/>
        <w:rPr>
          <w:rFonts w:hint="eastAsia"/>
        </w:rPr>
      </w:pPr>
      <w:r>
        <w:rPr>
          <w:rFonts w:hint="eastAsia"/>
        </w:rPr>
        <w:t>13.3  供应商须注意采购人在技术规格中指出的工艺、材料和货物的标准以及参照的牌号或分类号仅起说明作用，并没有任何限制性。供应商在响应中可以选用替代标准、牌号或分类号，但这些替代要实质上相当于或高于技术规格的要求，并且使招标机构和采购人满意。</w:t>
      </w:r>
    </w:p>
    <w:p>
      <w:pPr>
        <w:pStyle w:val="14"/>
        <w:numPr>
          <w:ilvl w:val="0"/>
          <w:numId w:val="9"/>
        </w:numPr>
        <w:autoSpaceDE w:val="0"/>
        <w:autoSpaceDN w:val="0"/>
        <w:adjustRightInd w:val="0"/>
        <w:spacing w:line="400" w:lineRule="exact"/>
        <w:textAlignment w:val="baseline"/>
        <w:rPr>
          <w:rFonts w:hint="eastAsia"/>
          <w:b/>
          <w:sz w:val="21"/>
        </w:rPr>
      </w:pPr>
      <w:bookmarkStart w:id="117" w:name="Zongze10baozhengjin17"/>
      <w:bookmarkEnd w:id="117"/>
      <w:r>
        <w:rPr>
          <w:rFonts w:hint="eastAsia"/>
          <w:b/>
          <w:sz w:val="21"/>
        </w:rPr>
        <w:t>磋商保证金</w:t>
      </w:r>
    </w:p>
    <w:p>
      <w:pPr>
        <w:spacing w:line="400" w:lineRule="exact"/>
        <w:ind w:firstLine="420" w:firstLineChars="200"/>
        <w:rPr>
          <w:rFonts w:hint="eastAsia"/>
        </w:rPr>
      </w:pPr>
      <w:r>
        <w:t>本项目无需交纳保证金</w:t>
      </w:r>
      <w:r>
        <w:rPr>
          <w:rFonts w:hint="eastAsia"/>
        </w:rPr>
        <w:t>。</w:t>
      </w:r>
    </w:p>
    <w:p>
      <w:pPr>
        <w:pStyle w:val="14"/>
        <w:numPr>
          <w:ilvl w:val="0"/>
          <w:numId w:val="9"/>
        </w:numPr>
        <w:autoSpaceDE w:val="0"/>
        <w:autoSpaceDN w:val="0"/>
        <w:adjustRightInd w:val="0"/>
        <w:spacing w:line="400" w:lineRule="exact"/>
        <w:textAlignment w:val="baseline"/>
        <w:rPr>
          <w:rFonts w:hint="eastAsia"/>
          <w:b/>
          <w:sz w:val="21"/>
        </w:rPr>
      </w:pPr>
      <w:bookmarkStart w:id="118" w:name="Zongze11youxiaoqi18"/>
      <w:bookmarkEnd w:id="118"/>
      <w:r>
        <w:rPr>
          <w:rFonts w:hint="eastAsia"/>
          <w:b/>
          <w:sz w:val="21"/>
        </w:rPr>
        <w:t>报价有效期</w:t>
      </w:r>
    </w:p>
    <w:p>
      <w:pPr>
        <w:spacing w:line="400" w:lineRule="exact"/>
        <w:ind w:firstLine="420" w:firstLineChars="200"/>
        <w:rPr>
          <w:rFonts w:hint="eastAsia"/>
        </w:rPr>
      </w:pPr>
      <w:r>
        <w:t>1</w:t>
      </w:r>
      <w:r>
        <w:rPr>
          <w:rFonts w:hint="eastAsia"/>
        </w:rPr>
        <w:t>5</w:t>
      </w:r>
      <w:r>
        <w:t xml:space="preserve">.1 </w:t>
      </w:r>
      <w:r>
        <w:rPr>
          <w:rFonts w:hint="eastAsia"/>
        </w:rPr>
        <w:t>报价有效期为递交磋商应答文件截止之日后的</w:t>
      </w:r>
      <w:r>
        <w:rPr>
          <w:rFonts w:hint="eastAsia"/>
          <w:u w:val="single"/>
        </w:rPr>
        <w:t xml:space="preserve"> </w:t>
      </w:r>
      <w:r>
        <w:rPr>
          <w:rFonts w:hint="eastAsia"/>
          <w:b/>
          <w:u w:val="single"/>
        </w:rPr>
        <w:t>90</w:t>
      </w:r>
      <w:r>
        <w:rPr>
          <w:rFonts w:hint="eastAsia"/>
        </w:rPr>
        <w:t>个日历日内。在此期限内，所有磋商应答文件均保持有效。</w:t>
      </w:r>
    </w:p>
    <w:p>
      <w:pPr>
        <w:spacing w:line="400" w:lineRule="exact"/>
        <w:ind w:firstLine="420" w:firstLineChars="200"/>
        <w:rPr>
          <w:rFonts w:hint="eastAsia"/>
        </w:rPr>
      </w:pPr>
      <w:r>
        <w:rPr>
          <w:rFonts w:hint="eastAsia"/>
        </w:rPr>
        <w:t>15.2  在特殊情况下，招标机构在原定磋商应答文件有效期内可以根据需要向供应商提出延长磋商应答文件有效期的要求，供应商应用立即以传真等书面形式对此要求向招标机构做出答复，供应商可拒绝招标机构的要求，其磋商保证金将不会被没收。同意延长有效期的供应商应相应地延长磋商担保的有效期，但不得因此而提出修改磋商应答文件的要求。在延长期内，本须知第14条有关磋商保证金的退还与没收的规定将依然适用。</w:t>
      </w:r>
    </w:p>
    <w:p>
      <w:pPr>
        <w:ind w:firstLine="315" w:firstLineChars="150"/>
        <w:rPr>
          <w:rFonts w:hint="eastAsia"/>
        </w:rPr>
      </w:pPr>
    </w:p>
    <w:p>
      <w:pPr>
        <w:rPr>
          <w:rFonts w:hint="eastAsia" w:ascii="宋体" w:hAnsi="宋体"/>
          <w:b/>
          <w:sz w:val="28"/>
        </w:rPr>
      </w:pPr>
      <w:r>
        <w:rPr>
          <w:rFonts w:hint="eastAsia" w:ascii="宋体" w:hAnsi="宋体"/>
          <w:b/>
          <w:sz w:val="28"/>
        </w:rPr>
        <w:t xml:space="preserve">四  </w:t>
      </w:r>
      <w:bookmarkStart w:id="119" w:name="Zongze11dijiao"/>
      <w:bookmarkEnd w:id="119"/>
      <w:r>
        <w:rPr>
          <w:rFonts w:hint="eastAsia" w:ascii="宋体" w:hAnsi="宋体"/>
          <w:b/>
          <w:sz w:val="28"/>
        </w:rPr>
        <w:t>磋商应答文件的递交</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磋商应答文件的密封和标记</w:t>
      </w:r>
    </w:p>
    <w:p>
      <w:pPr>
        <w:spacing w:line="400" w:lineRule="exact"/>
        <w:ind w:firstLine="420" w:firstLineChars="200"/>
        <w:rPr>
          <w:rFonts w:hint="eastAsia"/>
        </w:rPr>
      </w:pPr>
      <w:r>
        <w:rPr>
          <w:rFonts w:hint="eastAsia"/>
        </w:rPr>
        <w:t>16</w:t>
      </w:r>
      <w:r>
        <w:t>.1</w:t>
      </w:r>
      <w:r>
        <w:rPr>
          <w:rFonts w:hint="eastAsia"/>
        </w:rPr>
        <w:t xml:space="preserve"> </w:t>
      </w:r>
      <w:r>
        <w:rPr>
          <w:rFonts w:hint="eastAsia"/>
          <w:b/>
        </w:rPr>
        <w:t>磋商应答文件</w:t>
      </w:r>
      <w:r>
        <w:rPr>
          <w:rFonts w:hint="eastAsia"/>
          <w:b/>
          <w:szCs w:val="21"/>
        </w:rPr>
        <w:t>正本、所有的副本和电子标书应统一封装在一个密封袋中，</w:t>
      </w:r>
      <w:r>
        <w:rPr>
          <w:rFonts w:hint="eastAsia"/>
          <w:b/>
        </w:rPr>
        <w:t>磋商应答文件密封</w:t>
      </w:r>
      <w:r>
        <w:rPr>
          <w:rFonts w:hint="eastAsia"/>
          <w:b/>
          <w:szCs w:val="21"/>
        </w:rPr>
        <w:t>封口处须加盖供应商单位公章（或密封封口处粘贴封条并加盖供应商单位公章）。</w:t>
      </w:r>
    </w:p>
    <w:p>
      <w:pPr>
        <w:spacing w:line="400" w:lineRule="exact"/>
        <w:ind w:firstLine="420" w:firstLineChars="200"/>
        <w:rPr>
          <w:rFonts w:hint="eastAsia"/>
        </w:rPr>
      </w:pPr>
      <w:r>
        <w:rPr>
          <w:rFonts w:hint="eastAsia"/>
        </w:rPr>
        <w:t xml:space="preserve">16.2  </w:t>
      </w:r>
      <w:r>
        <w:rPr>
          <w:rFonts w:hint="eastAsia"/>
          <w:szCs w:val="21"/>
        </w:rPr>
        <w:t>密封包装</w:t>
      </w:r>
      <w:r>
        <w:rPr>
          <w:rFonts w:hint="eastAsia"/>
        </w:rPr>
        <w:t>外层须：</w:t>
      </w:r>
    </w:p>
    <w:p>
      <w:pPr>
        <w:spacing w:line="400" w:lineRule="exact"/>
        <w:ind w:firstLine="630" w:firstLineChars="300"/>
        <w:rPr>
          <w:rFonts w:hint="eastAsia"/>
        </w:rPr>
      </w:pPr>
      <w:r>
        <w:rPr>
          <w:rFonts w:hint="eastAsia"/>
        </w:rPr>
        <w:t>1） 清楚标明递交至：</w:t>
      </w:r>
      <w:r>
        <w:rPr>
          <w:rFonts w:hint="eastAsia"/>
          <w:b/>
          <w:bCs/>
          <w:szCs w:val="27"/>
        </w:rPr>
        <w:t>深圳市福田区新闻路59号深茂商业中心13楼A座。</w:t>
      </w:r>
    </w:p>
    <w:p>
      <w:pPr>
        <w:spacing w:line="400" w:lineRule="exact"/>
        <w:ind w:firstLine="630" w:firstLineChars="300"/>
        <w:rPr>
          <w:rFonts w:hint="eastAsia"/>
        </w:rPr>
      </w:pPr>
      <w:r>
        <w:rPr>
          <w:rFonts w:hint="eastAsia"/>
        </w:rPr>
        <w:t>2） 注明项目编号、项目名称和</w:t>
      </w:r>
      <w:r>
        <w:rPr>
          <w:rFonts w:hint="eastAsia"/>
          <w:b/>
        </w:rPr>
        <w:t>“</w:t>
      </w:r>
      <w:r>
        <w:rPr>
          <w:rFonts w:hint="eastAsia"/>
          <w:b/>
          <w:u w:val="single"/>
        </w:rPr>
        <w:t>在XXXX</w:t>
      </w:r>
      <w:r>
        <w:rPr>
          <w:b/>
          <w:u w:val="single"/>
        </w:rPr>
        <w:t>年</w:t>
      </w:r>
      <w:r>
        <w:rPr>
          <w:rFonts w:hint="eastAsia"/>
          <w:b/>
          <w:u w:val="single"/>
        </w:rPr>
        <w:t>XX</w:t>
      </w:r>
      <w:r>
        <w:rPr>
          <w:b/>
          <w:u w:val="single"/>
        </w:rPr>
        <w:t>月</w:t>
      </w:r>
      <w:r>
        <w:rPr>
          <w:rFonts w:hint="eastAsia"/>
          <w:b/>
          <w:u w:val="single"/>
        </w:rPr>
        <w:t>XX</w:t>
      </w:r>
      <w:r>
        <w:rPr>
          <w:b/>
          <w:u w:val="single"/>
        </w:rPr>
        <w:t>日</w:t>
      </w:r>
      <w:r>
        <w:rPr>
          <w:rFonts w:hint="eastAsia"/>
          <w:b/>
          <w:u w:val="single"/>
        </w:rPr>
        <w:t>XX</w:t>
      </w:r>
      <w:r>
        <w:rPr>
          <w:b/>
          <w:u w:val="single"/>
        </w:rPr>
        <w:t>时</w:t>
      </w:r>
      <w:r>
        <w:rPr>
          <w:rFonts w:hint="eastAsia"/>
          <w:b/>
          <w:u w:val="single"/>
        </w:rPr>
        <w:t>XX</w:t>
      </w:r>
      <w:r>
        <w:rPr>
          <w:b/>
          <w:u w:val="single"/>
        </w:rPr>
        <w:t>分</w:t>
      </w:r>
      <w:r>
        <w:rPr>
          <w:rFonts w:hint="eastAsia"/>
          <w:b/>
          <w:u w:val="single"/>
        </w:rPr>
        <w:t>之前不得启封</w:t>
      </w:r>
      <w:r>
        <w:rPr>
          <w:rFonts w:hint="eastAsia"/>
          <w:b/>
        </w:rPr>
        <w:t>”</w:t>
      </w:r>
      <w:r>
        <w:rPr>
          <w:rFonts w:hint="eastAsia"/>
        </w:rPr>
        <w:t>的字样。</w:t>
      </w:r>
    </w:p>
    <w:p>
      <w:pPr>
        <w:spacing w:line="400" w:lineRule="exact"/>
        <w:ind w:firstLine="420" w:firstLineChars="200"/>
        <w:rPr>
          <w:rFonts w:hint="eastAsia"/>
        </w:rPr>
      </w:pPr>
      <w:r>
        <w:rPr>
          <w:rFonts w:hint="eastAsia"/>
        </w:rPr>
        <w:t>16</w:t>
      </w:r>
      <w:r>
        <w:t>.</w:t>
      </w:r>
      <w:r>
        <w:rPr>
          <w:rFonts w:hint="eastAsia"/>
        </w:rPr>
        <w:t>3</w:t>
      </w:r>
      <w:r>
        <w:t xml:space="preserve">  </w:t>
      </w:r>
      <w:r>
        <w:rPr>
          <w:rFonts w:hint="eastAsia"/>
          <w:szCs w:val="21"/>
        </w:rPr>
        <w:t>密封包装</w:t>
      </w:r>
      <w:r>
        <w:rPr>
          <w:rFonts w:hint="eastAsia"/>
        </w:rPr>
        <w:t>应写明供应商名称和地址，以便其报价被宣布为“迟到”时，能原封退回。</w:t>
      </w:r>
    </w:p>
    <w:p>
      <w:pPr>
        <w:spacing w:line="400" w:lineRule="exact"/>
        <w:ind w:firstLine="420" w:firstLineChars="200"/>
        <w:rPr>
          <w:rFonts w:hint="eastAsia"/>
        </w:rPr>
      </w:pPr>
      <w:r>
        <w:rPr>
          <w:rFonts w:hint="eastAsia"/>
        </w:rPr>
        <w:t>16</w:t>
      </w:r>
      <w:r>
        <w:t>.</w:t>
      </w:r>
      <w:r>
        <w:rPr>
          <w:rFonts w:hint="eastAsia"/>
        </w:rPr>
        <w:t xml:space="preserve">4 </w:t>
      </w:r>
      <w:r>
        <w:t xml:space="preserve"> </w:t>
      </w:r>
      <w:r>
        <w:rPr>
          <w:rFonts w:hint="eastAsia"/>
        </w:rPr>
        <w:t>如果</w:t>
      </w:r>
      <w:r>
        <w:rPr>
          <w:rFonts w:hint="eastAsia"/>
          <w:szCs w:val="21"/>
        </w:rPr>
        <w:t>密封包装</w:t>
      </w:r>
      <w:r>
        <w:rPr>
          <w:rFonts w:hint="eastAsia"/>
        </w:rPr>
        <w:t>未按本须知第16.2条要求加写标记和密封，招标机构对误投或过早启封概不负责。</w:t>
      </w:r>
    </w:p>
    <w:p>
      <w:pPr>
        <w:pStyle w:val="14"/>
        <w:numPr>
          <w:ilvl w:val="0"/>
          <w:numId w:val="9"/>
        </w:numPr>
        <w:autoSpaceDE w:val="0"/>
        <w:autoSpaceDN w:val="0"/>
        <w:adjustRightInd w:val="0"/>
        <w:spacing w:line="400" w:lineRule="exact"/>
        <w:textAlignment w:val="baseline"/>
        <w:rPr>
          <w:rFonts w:hint="eastAsia"/>
          <w:b/>
          <w:sz w:val="21"/>
        </w:rPr>
      </w:pPr>
      <w:bookmarkStart w:id="120" w:name="Zongze12jiezhi21"/>
      <w:bookmarkEnd w:id="120"/>
      <w:r>
        <w:rPr>
          <w:rFonts w:hint="eastAsia"/>
          <w:b/>
          <w:sz w:val="21"/>
        </w:rPr>
        <w:t>递交磋商应答文件截止期</w:t>
      </w:r>
    </w:p>
    <w:p>
      <w:pPr>
        <w:spacing w:line="400" w:lineRule="exact"/>
        <w:ind w:firstLine="420" w:firstLineChars="200"/>
        <w:rPr>
          <w:rFonts w:hint="eastAsia"/>
        </w:rPr>
      </w:pPr>
      <w:r>
        <w:rPr>
          <w:rFonts w:hint="eastAsia"/>
        </w:rPr>
        <w:t>17</w:t>
      </w:r>
      <w:r>
        <w:t xml:space="preserve">.1 </w:t>
      </w:r>
      <w:r>
        <w:rPr>
          <w:rFonts w:hint="eastAsia"/>
        </w:rPr>
        <w:t xml:space="preserve"> 招标机构在规定递交磋商应答文件截止（磋商开始）时间前</w:t>
      </w:r>
      <w:r>
        <w:rPr>
          <w:rFonts w:hint="eastAsia"/>
          <w:b/>
        </w:rPr>
        <w:t>30</w:t>
      </w:r>
      <w:r>
        <w:rPr>
          <w:rFonts w:hint="eastAsia"/>
        </w:rPr>
        <w:t>分钟</w:t>
      </w:r>
      <w:r>
        <w:rPr>
          <w:rFonts w:hint="eastAsia"/>
          <w:b/>
        </w:rPr>
        <w:t>（具体时间详见</w:t>
      </w:r>
      <w:r>
        <w:rPr>
          <w:rFonts w:hint="eastAsia"/>
          <w:szCs w:val="21"/>
        </w:rPr>
        <w:t>第一章《磋商邀请》</w:t>
      </w:r>
      <w:r>
        <w:rPr>
          <w:rFonts w:hint="eastAsia"/>
          <w:b/>
        </w:rPr>
        <w:t>）</w:t>
      </w:r>
      <w:r>
        <w:rPr>
          <w:rFonts w:hint="eastAsia"/>
        </w:rPr>
        <w:t>在本须知第16.2条规定的地址开始接收磋商应答文件。</w:t>
      </w:r>
    </w:p>
    <w:p>
      <w:pPr>
        <w:spacing w:line="400" w:lineRule="exact"/>
        <w:ind w:firstLine="420" w:firstLineChars="200"/>
        <w:rPr>
          <w:rFonts w:hint="eastAsia"/>
        </w:rPr>
      </w:pPr>
      <w:r>
        <w:rPr>
          <w:rFonts w:hint="eastAsia"/>
        </w:rPr>
        <w:t>17.2  规定提交磋商应答文件截止时间以后送达的磋商应答文件，将原封退给供应商。</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磋商应答文件的修改与撤回</w:t>
      </w:r>
    </w:p>
    <w:p>
      <w:pPr>
        <w:spacing w:line="400" w:lineRule="exact"/>
        <w:ind w:firstLine="420" w:firstLineChars="200"/>
        <w:rPr>
          <w:rFonts w:hint="eastAsia"/>
        </w:rPr>
      </w:pPr>
      <w:r>
        <w:rPr>
          <w:rFonts w:hint="eastAsia"/>
        </w:rPr>
        <w:t>18</w:t>
      </w:r>
      <w:r>
        <w:t xml:space="preserve">.1 </w:t>
      </w:r>
      <w:r>
        <w:rPr>
          <w:rFonts w:hint="eastAsia"/>
        </w:rPr>
        <w:t xml:space="preserve"> 供应商在递交磋商应答文件后，可以修改或撤回其报价，但修改或撤回的书面通知，必须在截止期之前递交至招标机构，且必须经正式授权的供应商代表签字并加盖公章，补充、修改的内容为磋商应答文件的组成部分。</w:t>
      </w:r>
    </w:p>
    <w:p>
      <w:pPr>
        <w:spacing w:line="400" w:lineRule="exact"/>
        <w:ind w:firstLine="420" w:firstLineChars="200"/>
        <w:rPr>
          <w:rFonts w:hint="eastAsia"/>
        </w:rPr>
      </w:pPr>
      <w:r>
        <w:rPr>
          <w:rFonts w:hint="eastAsia"/>
        </w:rPr>
        <w:t>18</w:t>
      </w:r>
      <w:r>
        <w:t xml:space="preserve">.2 </w:t>
      </w:r>
      <w:r>
        <w:rPr>
          <w:rFonts w:hint="eastAsia"/>
        </w:rPr>
        <w:t xml:space="preserve"> 供应商的修改或撤回通知按本须知规定编制、密封、标记和发送，并在内、外层磋商应答文件密封袋上清楚标明“补充”、“修改”或“撤回”字样。</w:t>
      </w:r>
    </w:p>
    <w:p>
      <w:pPr>
        <w:spacing w:line="400" w:lineRule="exact"/>
        <w:ind w:firstLine="420" w:firstLineChars="200"/>
        <w:rPr>
          <w:rFonts w:hint="eastAsia"/>
        </w:rPr>
      </w:pPr>
      <w:r>
        <w:rPr>
          <w:rFonts w:hint="eastAsia"/>
        </w:rPr>
        <w:t>18</w:t>
      </w:r>
      <w:r>
        <w:t xml:space="preserve">.3 </w:t>
      </w:r>
      <w:r>
        <w:rPr>
          <w:rFonts w:hint="eastAsia"/>
        </w:rPr>
        <w:t xml:space="preserve"> 在截止期之后，供应商不得要求撤回磋商应答文件。</w:t>
      </w:r>
    </w:p>
    <w:p>
      <w:pPr>
        <w:spacing w:line="360" w:lineRule="auto"/>
        <w:ind w:firstLine="420" w:firstLineChars="200"/>
        <w:rPr>
          <w:rFonts w:hint="eastAsia"/>
        </w:rPr>
      </w:pPr>
    </w:p>
    <w:p>
      <w:pPr>
        <w:rPr>
          <w:rFonts w:ascii="宋体" w:hAnsi="宋体"/>
          <w:b/>
          <w:sz w:val="28"/>
        </w:rPr>
      </w:pPr>
      <w:r>
        <w:rPr>
          <w:rFonts w:hint="eastAsia" w:ascii="宋体" w:hAnsi="宋体"/>
          <w:b/>
          <w:sz w:val="28"/>
        </w:rPr>
        <w:t xml:space="preserve">五  </w:t>
      </w:r>
      <w:bookmarkStart w:id="121" w:name="Zongze13kaibiao24"/>
      <w:bookmarkEnd w:id="121"/>
      <w:r>
        <w:rPr>
          <w:rFonts w:hint="eastAsia" w:ascii="宋体" w:hAnsi="宋体"/>
          <w:b/>
          <w:sz w:val="28"/>
        </w:rPr>
        <w:t>接收磋商应答文件与磋商</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接收磋商应答文件</w:t>
      </w:r>
    </w:p>
    <w:p>
      <w:pPr>
        <w:spacing w:line="400" w:lineRule="exact"/>
        <w:ind w:firstLine="420" w:firstLineChars="200"/>
        <w:rPr>
          <w:rFonts w:hint="eastAsia"/>
        </w:rPr>
      </w:pPr>
      <w:r>
        <w:rPr>
          <w:rFonts w:hint="eastAsia"/>
        </w:rPr>
        <w:t>采购人和招标机构在规定的接收磋商应答文件截止时间及地点组织磋商。供应商授权代表须参加磋商。参加磋商的代表须填写《签到表》或《接收磋商应答文件登记表》。</w:t>
      </w:r>
    </w:p>
    <w:p>
      <w:pPr>
        <w:pStyle w:val="14"/>
        <w:numPr>
          <w:ilvl w:val="0"/>
          <w:numId w:val="9"/>
        </w:numPr>
        <w:autoSpaceDE w:val="0"/>
        <w:autoSpaceDN w:val="0"/>
        <w:adjustRightInd w:val="0"/>
        <w:spacing w:line="400" w:lineRule="exact"/>
        <w:textAlignment w:val="baseline"/>
        <w:rPr>
          <w:rFonts w:hint="eastAsia"/>
          <w:b/>
          <w:sz w:val="21"/>
        </w:rPr>
      </w:pPr>
      <w:bookmarkStart w:id="122" w:name="pingbiao13"/>
      <w:bookmarkEnd w:id="122"/>
      <w:r>
        <w:rPr>
          <w:rFonts w:hint="eastAsia"/>
          <w:b/>
          <w:sz w:val="21"/>
        </w:rPr>
        <w:t>磋商</w:t>
      </w:r>
    </w:p>
    <w:p>
      <w:pPr>
        <w:spacing w:line="400" w:lineRule="exact"/>
        <w:ind w:firstLine="420" w:firstLineChars="200"/>
        <w:rPr>
          <w:rFonts w:hint="eastAsia"/>
        </w:rPr>
      </w:pPr>
      <w:r>
        <w:rPr>
          <w:rFonts w:hint="eastAsia"/>
        </w:rPr>
        <w:t>磋商由磋商小组分别与供应商进行。在磋商、评审期间，供应商不得向评委询问情况，不得进行旨在影响磋商结果的活动。</w:t>
      </w:r>
    </w:p>
    <w:p>
      <w:pPr>
        <w:rPr>
          <w:rFonts w:hint="eastAsia"/>
          <w:b/>
        </w:rPr>
      </w:pPr>
      <w:r>
        <w:rPr>
          <w:rFonts w:hint="eastAsia"/>
        </w:rPr>
        <w:t>20.1</w:t>
      </w:r>
      <w:r>
        <w:rPr>
          <w:b/>
        </w:rPr>
        <w:t xml:space="preserve"> </w:t>
      </w:r>
      <w:r>
        <w:rPr>
          <w:rFonts w:hint="eastAsia"/>
          <w:b/>
        </w:rPr>
        <w:t xml:space="preserve"> 磋商小组</w:t>
      </w:r>
    </w:p>
    <w:p>
      <w:pPr>
        <w:spacing w:line="400" w:lineRule="exact"/>
        <w:ind w:firstLine="420" w:firstLineChars="200"/>
        <w:rPr>
          <w:rFonts w:hint="eastAsia"/>
        </w:rPr>
      </w:pPr>
      <w:r>
        <w:t>依法组建</w:t>
      </w:r>
      <w:r>
        <w:rPr>
          <w:rFonts w:hint="eastAsia"/>
        </w:rPr>
        <w:t>磋商</w:t>
      </w:r>
      <w:r>
        <w:t>小组，</w:t>
      </w:r>
      <w:r>
        <w:rPr>
          <w:rFonts w:hint="eastAsia"/>
        </w:rPr>
        <w:t>磋商</w:t>
      </w:r>
      <w:r>
        <w:t>小组由采购人</w:t>
      </w:r>
      <w:r>
        <w:rPr>
          <w:rFonts w:hint="eastAsia"/>
        </w:rPr>
        <w:t>代表</w:t>
      </w:r>
      <w:r>
        <w:t>和有关技术、经济等方面的专家组成，成员人数为不少于</w:t>
      </w:r>
      <w:r>
        <w:rPr>
          <w:rFonts w:hint="eastAsia"/>
        </w:rPr>
        <w:t>3</w:t>
      </w:r>
      <w:r>
        <w:t>人以上单数，其中技术、经济等方面的专家不少于成员总数的三分之二。</w:t>
      </w:r>
    </w:p>
    <w:p>
      <w:pPr>
        <w:spacing w:line="400" w:lineRule="exact"/>
        <w:ind w:firstLine="420" w:firstLineChars="200"/>
        <w:rPr>
          <w:rFonts w:hint="eastAsia"/>
          <w:b/>
        </w:rPr>
      </w:pPr>
      <w:r>
        <w:rPr>
          <w:rFonts w:hint="eastAsia"/>
        </w:rPr>
        <w:t>20.2</w:t>
      </w:r>
      <w:r>
        <w:rPr>
          <w:rFonts w:hint="eastAsia"/>
          <w:b/>
        </w:rPr>
        <w:t xml:space="preserve">  </w:t>
      </w:r>
      <w:r>
        <w:rPr>
          <w:rFonts w:hAnsi="宋体"/>
          <w:b/>
        </w:rPr>
        <w:t>确定成交供应商原则</w:t>
      </w:r>
    </w:p>
    <w:p>
      <w:pPr>
        <w:spacing w:line="400" w:lineRule="exact"/>
        <w:ind w:firstLine="420" w:firstLineChars="200"/>
        <w:rPr>
          <w:rFonts w:hint="eastAsia" w:ascii="宋体" w:hAnsi="宋体"/>
        </w:rPr>
      </w:pPr>
      <w:r>
        <w:rPr>
          <w:rFonts w:hint="eastAsia"/>
        </w:rPr>
        <w:t>供应商进行三轮报价（文件中投标报价为第一轮报价，现场进行两轮报价），第三轮报价为最终报价；磋商小组须严格按照竞争性磋商文件的要求和条件及评审方法的规定，比照磋商应答文件进行综合评分，</w:t>
      </w:r>
      <w:r>
        <w:rPr>
          <w:rFonts w:hint="eastAsia" w:ascii="宋体" w:hAnsi="宋体"/>
        </w:rPr>
        <w:t>综合得分最高的供应商确定为成交供应商。</w:t>
      </w:r>
    </w:p>
    <w:p>
      <w:pPr>
        <w:spacing w:line="400" w:lineRule="exact"/>
        <w:ind w:firstLine="420" w:firstLineChars="200"/>
        <w:rPr>
          <w:rFonts w:hint="eastAsia"/>
          <w:b/>
        </w:rPr>
      </w:pPr>
      <w:r>
        <w:rPr>
          <w:rFonts w:hint="eastAsia"/>
        </w:rPr>
        <w:t>20.3</w:t>
      </w:r>
      <w:r>
        <w:rPr>
          <w:rFonts w:hint="eastAsia"/>
          <w:b/>
        </w:rPr>
        <w:t xml:space="preserve">  评审方法 （</w:t>
      </w:r>
      <w:r>
        <w:rPr>
          <w:rFonts w:hint="eastAsia"/>
          <w:bCs/>
        </w:rPr>
        <w:t>先进行三轮报价、磋商，再综合评分</w:t>
      </w:r>
      <w:r>
        <w:rPr>
          <w:rFonts w:hint="eastAsia"/>
          <w:b/>
        </w:rPr>
        <w:t>）</w:t>
      </w:r>
    </w:p>
    <w:p>
      <w:pPr>
        <w:spacing w:line="400" w:lineRule="exact"/>
        <w:ind w:firstLine="420" w:firstLineChars="200"/>
        <w:rPr>
          <w:rFonts w:hint="eastAsia"/>
          <w:b/>
        </w:rPr>
      </w:pPr>
      <w:r>
        <w:t>2</w:t>
      </w:r>
      <w:r>
        <w:rPr>
          <w:rFonts w:hint="eastAsia"/>
        </w:rPr>
        <w:t>0</w:t>
      </w:r>
      <w:r>
        <w:t xml:space="preserve">.3.1  符合性检查： </w:t>
      </w:r>
      <w:r>
        <w:rPr>
          <w:lang w:val="en-GB"/>
        </w:rPr>
        <w:t>依照竞争性磋商文件的规定，从磋商应答文件的有效性、完整性和对竞争性磋商文件技术、商务的响应程度进行审查，以确定是否对竞争性磋商文件的实质性要求作出响应。</w:t>
      </w:r>
      <w:r>
        <w:t>只有逐条通过《符合性检查表》各项检查的</w:t>
      </w:r>
      <w:r>
        <w:rPr>
          <w:rFonts w:hint="eastAsia"/>
        </w:rPr>
        <w:t>供应商，结论</w:t>
      </w:r>
      <w:r>
        <w:rPr>
          <w:rFonts w:ascii="宋体" w:hAnsi="宋体"/>
        </w:rPr>
        <w:t>为“合格”</w:t>
      </w:r>
      <w:r>
        <w:rPr>
          <w:rFonts w:hint="eastAsia" w:ascii="宋体" w:hAnsi="宋体"/>
        </w:rPr>
        <w:t>才能</w:t>
      </w:r>
      <w:r>
        <w:t>进入下一阶段的</w:t>
      </w:r>
      <w:r>
        <w:rPr>
          <w:rFonts w:hint="eastAsia"/>
        </w:rPr>
        <w:t>磋商</w:t>
      </w:r>
      <w:r>
        <w:t>。</w:t>
      </w:r>
    </w:p>
    <w:p>
      <w:pPr>
        <w:widowControl/>
        <w:spacing w:line="400" w:lineRule="exact"/>
        <w:ind w:left="559" w:leftChars="266"/>
        <w:rPr>
          <w:rFonts w:hint="eastAsia" w:hAnsi="宋体"/>
        </w:rPr>
      </w:pPr>
      <w:r>
        <w:rPr>
          <w:rFonts w:hint="eastAsia"/>
        </w:rPr>
        <w:t xml:space="preserve">20.3.2   </w:t>
      </w:r>
      <w:r>
        <w:rPr>
          <w:rFonts w:hAnsi="宋体"/>
        </w:rPr>
        <w:t>磋商小组</w:t>
      </w:r>
      <w:r>
        <w:rPr>
          <w:rFonts w:hint="eastAsia" w:hAnsi="宋体"/>
        </w:rPr>
        <w:t>对</w:t>
      </w:r>
      <w:r>
        <w:rPr>
          <w:rFonts w:hAnsi="宋体"/>
          <w:b/>
        </w:rPr>
        <w:t>通过符合性审查的供应商</w:t>
      </w:r>
      <w:r>
        <w:rPr>
          <w:rFonts w:hint="eastAsia" w:hAnsi="宋体"/>
          <w:b/>
        </w:rPr>
        <w:t>，</w:t>
      </w:r>
      <w:r>
        <w:rPr>
          <w:rFonts w:hint="eastAsia" w:hAnsi="宋体"/>
        </w:rPr>
        <w:t>进行下面的</w:t>
      </w:r>
      <w:r>
        <w:rPr>
          <w:rFonts w:hAnsi="宋体"/>
        </w:rPr>
        <w:t>磋商程序：</w:t>
      </w:r>
    </w:p>
    <w:p>
      <w:pPr>
        <w:widowControl/>
        <w:spacing w:line="400" w:lineRule="exact"/>
        <w:ind w:left="559" w:leftChars="266" w:firstLine="210" w:firstLineChars="100"/>
        <w:rPr>
          <w:rFonts w:hint="eastAsia"/>
        </w:rPr>
      </w:pPr>
      <w:r>
        <w:rPr>
          <w:rFonts w:hint="eastAsia"/>
        </w:rPr>
        <w:t>20</w:t>
      </w:r>
      <w:r>
        <w:t>.</w:t>
      </w:r>
      <w:r>
        <w:rPr>
          <w:rFonts w:hint="eastAsia"/>
        </w:rPr>
        <w:t>3</w:t>
      </w:r>
      <w:r>
        <w:t>.</w:t>
      </w:r>
      <w:r>
        <w:rPr>
          <w:rFonts w:hint="eastAsia"/>
        </w:rPr>
        <w:t xml:space="preserve">2.1  </w:t>
      </w:r>
      <w:r>
        <w:rPr>
          <w:rFonts w:hAnsi="宋体"/>
        </w:rPr>
        <w:t>磋商小组所有成员集中与单一供应商分别进行磋商</w:t>
      </w:r>
      <w:r>
        <w:rPr>
          <w:rFonts w:hint="eastAsia" w:hAnsi="宋体"/>
        </w:rPr>
        <w:t>（</w:t>
      </w:r>
      <w:r>
        <w:rPr>
          <w:rFonts w:hAnsi="宋体"/>
        </w:rPr>
        <w:t>供应商</w:t>
      </w:r>
      <w:r>
        <w:rPr>
          <w:rFonts w:hint="eastAsia"/>
        </w:rPr>
        <w:t>参加磋商的代</w:t>
      </w:r>
    </w:p>
    <w:p>
      <w:pPr>
        <w:widowControl/>
        <w:spacing w:line="400" w:lineRule="exact"/>
        <w:ind w:firstLine="420" w:firstLineChars="200"/>
        <w:rPr>
          <w:rFonts w:hint="eastAsia" w:hAnsi="宋体"/>
        </w:rPr>
      </w:pPr>
      <w:r>
        <w:rPr>
          <w:rFonts w:hint="eastAsia"/>
        </w:rPr>
        <w:t>表，必须是法人代表或法人代表授权委托人</w:t>
      </w:r>
      <w:r>
        <w:rPr>
          <w:rFonts w:hint="eastAsia" w:hAnsi="宋体"/>
        </w:rPr>
        <w:t>）</w:t>
      </w:r>
      <w:r>
        <w:rPr>
          <w:rFonts w:hAnsi="宋体"/>
        </w:rPr>
        <w:t>；</w:t>
      </w:r>
    </w:p>
    <w:p>
      <w:pPr>
        <w:widowControl/>
        <w:spacing w:line="400" w:lineRule="exact"/>
        <w:ind w:left="420" w:leftChars="200" w:firstLine="420" w:firstLineChars="200"/>
        <w:rPr>
          <w:rFonts w:hint="eastAsia" w:hAnsi="宋体"/>
        </w:rPr>
      </w:pPr>
      <w:r>
        <w:rPr>
          <w:rFonts w:hint="eastAsia" w:hAnsi="宋体"/>
        </w:rPr>
        <w:t>20.3.2.2  项目的资质条件、评审方法及财政预算金额在磋商过程中不得变更，磋商小组对磋商文件有其他实质性变更的，磋商小组应当书面告知所有参与磋商的供应商。</w:t>
      </w:r>
    </w:p>
    <w:p>
      <w:pPr>
        <w:widowControl/>
        <w:spacing w:line="400" w:lineRule="exact"/>
        <w:ind w:left="420" w:leftChars="200" w:firstLine="420" w:firstLineChars="200"/>
        <w:rPr>
          <w:rFonts w:hint="eastAsia" w:hAnsi="宋体"/>
        </w:rPr>
      </w:pPr>
      <w:r>
        <w:rPr>
          <w:rFonts w:hint="eastAsia" w:hAnsi="宋体"/>
        </w:rPr>
        <w:t>20.3.2.3  磋商及报价程序：</w:t>
      </w:r>
    </w:p>
    <w:p>
      <w:pPr>
        <w:widowControl/>
        <w:spacing w:line="400" w:lineRule="exact"/>
        <w:ind w:left="420" w:leftChars="200" w:firstLine="420" w:firstLineChars="200"/>
        <w:rPr>
          <w:rFonts w:hint="eastAsia" w:hAnsi="宋体"/>
        </w:rPr>
      </w:pPr>
      <w:r>
        <w:rPr>
          <w:rFonts w:hint="eastAsia" w:hAnsi="宋体"/>
        </w:rPr>
        <w:t>20.3.2.3.1本项目的磋商报价共分三轮。每轮</w:t>
      </w:r>
      <w:r>
        <w:rPr>
          <w:rFonts w:hAnsi="宋体"/>
        </w:rPr>
        <w:t>磋商</w:t>
      </w:r>
      <w:r>
        <w:rPr>
          <w:rFonts w:hint="eastAsia" w:hAnsi="宋体"/>
        </w:rPr>
        <w:t>报价</w:t>
      </w:r>
      <w:r>
        <w:rPr>
          <w:rFonts w:hAnsi="宋体"/>
        </w:rPr>
        <w:t>结束后，磋商小组要求参加磋商的供应商在规定的时间内提交</w:t>
      </w:r>
      <w:r>
        <w:rPr>
          <w:rFonts w:hint="eastAsia" w:hAnsi="宋体"/>
        </w:rPr>
        <w:t>该轮次</w:t>
      </w:r>
      <w:r>
        <w:rPr>
          <w:rFonts w:hAnsi="宋体"/>
        </w:rPr>
        <w:t>报价及有关承诺。</w:t>
      </w:r>
    </w:p>
    <w:p>
      <w:pPr>
        <w:widowControl/>
        <w:spacing w:line="400" w:lineRule="exact"/>
        <w:ind w:left="420" w:leftChars="200" w:firstLine="420" w:firstLineChars="200"/>
        <w:rPr>
          <w:rFonts w:hint="eastAsia" w:hAnsi="宋体"/>
        </w:rPr>
      </w:pPr>
      <w:r>
        <w:rPr>
          <w:rFonts w:hint="eastAsia" w:hAnsi="宋体"/>
        </w:rPr>
        <w:t>20.3.2.3.2 磋商小组于次论报价开始前向所有</w:t>
      </w:r>
      <w:r>
        <w:rPr>
          <w:rFonts w:hAnsi="宋体"/>
        </w:rPr>
        <w:t>参加磋商的</w:t>
      </w:r>
      <w:r>
        <w:rPr>
          <w:rFonts w:hint="eastAsia" w:hAnsi="宋体"/>
        </w:rPr>
        <w:t>供应商公布各供应商前一轮报价排名，但不得透露各供应商的具体报价金额及文件内容。</w:t>
      </w:r>
    </w:p>
    <w:p>
      <w:pPr>
        <w:widowControl/>
        <w:spacing w:line="400" w:lineRule="exact"/>
        <w:ind w:left="420" w:leftChars="200" w:firstLine="420" w:firstLineChars="200"/>
        <w:rPr>
          <w:rFonts w:hint="eastAsia" w:hAnsi="宋体"/>
        </w:rPr>
      </w:pPr>
      <w:r>
        <w:rPr>
          <w:rFonts w:hint="eastAsia" w:hAnsi="宋体"/>
        </w:rPr>
        <w:t>20.3.2.3.3 磋商结束后，磋商小组要求参加磋商的供应商就提出的问题（关于项目的资格条件、商务、技术等）给以答复。</w:t>
      </w:r>
    </w:p>
    <w:p>
      <w:pPr>
        <w:widowControl/>
        <w:spacing w:line="400" w:lineRule="exact"/>
        <w:ind w:left="420" w:leftChars="200" w:firstLine="420" w:firstLineChars="200"/>
        <w:rPr>
          <w:rFonts w:hint="eastAsia" w:hAnsi="宋体"/>
        </w:rPr>
      </w:pPr>
      <w:r>
        <w:rPr>
          <w:rFonts w:hint="eastAsia" w:hAnsi="宋体"/>
        </w:rPr>
        <w:t>20.3.2.3.4最后一轮报价</w:t>
      </w:r>
      <w:r>
        <w:rPr>
          <w:rFonts w:hAnsi="宋体"/>
        </w:rPr>
        <w:t>结束后，磋商小组要求参加磋商的供应商在规定的时间内提交最终报价及有关承诺。</w:t>
      </w:r>
      <w:r>
        <w:rPr>
          <w:rFonts w:hint="eastAsia" w:hAnsi="宋体"/>
        </w:rPr>
        <w:t>（注：最终报价即为最终合同金额）</w:t>
      </w:r>
      <w:r>
        <w:rPr>
          <w:rFonts w:hAnsi="宋体"/>
        </w:rPr>
        <w:t>。</w:t>
      </w:r>
    </w:p>
    <w:p>
      <w:pPr>
        <w:widowControl/>
        <w:spacing w:line="400" w:lineRule="exact"/>
        <w:ind w:left="420" w:leftChars="200" w:firstLine="420" w:firstLineChars="200"/>
        <w:rPr>
          <w:rFonts w:hint="eastAsia" w:hAnsi="宋体"/>
        </w:rPr>
      </w:pPr>
      <w:r>
        <w:rPr>
          <w:rFonts w:hint="eastAsia" w:hAnsi="宋体"/>
        </w:rPr>
        <w:t>20.3.2.3.5报价方式：所有参加磋商的供应商须根据与磋商小组每轮磋商的磋商结果，在磋商小组规定的时间内进行该轮次报价及有关承诺并填写该轮次《报价及承诺一览表》（表格由招标机构提供）</w:t>
      </w:r>
    </w:p>
    <w:p>
      <w:pPr>
        <w:spacing w:line="400" w:lineRule="exact"/>
        <w:ind w:firstLine="522" w:firstLineChars="249"/>
        <w:rPr>
          <w:rFonts w:hint="eastAsia" w:hAnsi="宋体"/>
        </w:rPr>
      </w:pPr>
      <w:r>
        <w:rPr>
          <w:rFonts w:hint="eastAsia"/>
          <w:lang w:val="en-GB"/>
        </w:rPr>
        <w:t xml:space="preserve">20.3.3 </w:t>
      </w:r>
      <w:r>
        <w:rPr>
          <w:rFonts w:hint="eastAsia" w:hAnsi="宋体"/>
        </w:rPr>
        <w:t>磋商</w:t>
      </w:r>
      <w:r>
        <w:rPr>
          <w:rFonts w:hAnsi="宋体"/>
        </w:rPr>
        <w:t>小组</w:t>
      </w:r>
      <w:r>
        <w:rPr>
          <w:rFonts w:hint="eastAsia" w:hAnsi="宋体"/>
        </w:rPr>
        <w:t>进行综合评分，</w:t>
      </w:r>
      <w:r>
        <w:rPr>
          <w:rFonts w:hint="eastAsia" w:hAnsi="宋体"/>
          <w:b/>
        </w:rPr>
        <w:t>综合得分最高分者为成交供应商</w:t>
      </w:r>
      <w:r>
        <w:rPr>
          <w:rFonts w:hAnsi="宋体"/>
        </w:rPr>
        <w:t>。</w:t>
      </w:r>
    </w:p>
    <w:p>
      <w:pPr>
        <w:spacing w:line="400" w:lineRule="exact"/>
        <w:ind w:firstLine="522" w:firstLineChars="249"/>
        <w:rPr>
          <w:rFonts w:hint="eastAsia"/>
          <w:b/>
        </w:rPr>
      </w:pPr>
      <w:r>
        <w:rPr>
          <w:rFonts w:hint="eastAsia"/>
          <w:lang w:val="en-GB"/>
        </w:rPr>
        <w:t>20.3.4</w:t>
      </w:r>
      <w:r>
        <w:rPr>
          <w:rFonts w:hint="eastAsia" w:hAnsi="宋体"/>
        </w:rPr>
        <w:t>磋商</w:t>
      </w:r>
      <w:r>
        <w:rPr>
          <w:rFonts w:hAnsi="宋体"/>
        </w:rPr>
        <w:t>小组不向落选方解释落选原因，不退还文件。</w:t>
      </w:r>
    </w:p>
    <w:p>
      <w:pPr>
        <w:pStyle w:val="14"/>
        <w:numPr>
          <w:ilvl w:val="0"/>
          <w:numId w:val="9"/>
        </w:numPr>
        <w:autoSpaceDE w:val="0"/>
        <w:autoSpaceDN w:val="0"/>
        <w:adjustRightInd w:val="0"/>
        <w:spacing w:line="400" w:lineRule="exact"/>
        <w:textAlignment w:val="baseline"/>
        <w:rPr>
          <w:rFonts w:hint="eastAsia"/>
          <w:b/>
          <w:sz w:val="21"/>
        </w:rPr>
      </w:pPr>
      <w:bookmarkStart w:id="123" w:name="Zongze15jieguo27"/>
      <w:bookmarkEnd w:id="123"/>
      <w:r>
        <w:rPr>
          <w:rFonts w:hint="eastAsia"/>
          <w:b/>
          <w:sz w:val="21"/>
        </w:rPr>
        <w:t>磋商结果公示</w:t>
      </w:r>
    </w:p>
    <w:p>
      <w:pPr>
        <w:spacing w:line="400" w:lineRule="exact"/>
        <w:ind w:firstLine="420" w:firstLineChars="200"/>
        <w:rPr>
          <w:rFonts w:hint="eastAsia" w:ascii="宋体" w:hAnsi="宋体"/>
          <w:szCs w:val="21"/>
        </w:rPr>
      </w:pPr>
      <w:r>
        <w:rPr>
          <w:rFonts w:hint="eastAsia" w:ascii="宋体" w:hAnsi="宋体"/>
          <w:szCs w:val="21"/>
        </w:rPr>
        <w:t>磋商结束后，采购人确认磋商结果，采购人负责在国家税务总局深圳市税务局官网（</w:t>
      </w:r>
      <w:r>
        <w:rPr>
          <w:rFonts w:ascii="宋体" w:hAnsi="宋体"/>
          <w:szCs w:val="21"/>
        </w:rPr>
        <w:t>https://shenzhen.chinatax.gov.cn</w:t>
      </w:r>
      <w:r>
        <w:rPr>
          <w:rFonts w:hint="eastAsia" w:ascii="宋体" w:hAnsi="宋体"/>
          <w:szCs w:val="21"/>
        </w:rPr>
        <w:t>）公示评标结果，采购代理机构将在中国政府采购网（</w:t>
      </w:r>
      <w:r>
        <w:rPr>
          <w:rFonts w:ascii="宋体" w:hAnsi="宋体"/>
          <w:szCs w:val="21"/>
        </w:rPr>
        <w:fldChar w:fldCharType="begin"/>
      </w:r>
      <w:r>
        <w:rPr>
          <w:rFonts w:ascii="宋体" w:hAnsi="宋体"/>
          <w:szCs w:val="21"/>
        </w:rPr>
        <w:instrText xml:space="preserve">HYPERLINK "http://www.ccgp.gov.cn/"</w:instrText>
      </w:r>
      <w:r>
        <w:rPr>
          <w:rFonts w:ascii="宋体" w:hAnsi="宋体"/>
          <w:szCs w:val="21"/>
        </w:rPr>
        <w:fldChar w:fldCharType="separate"/>
      </w:r>
      <w:r>
        <w:rPr>
          <w:rStyle w:val="33"/>
          <w:rFonts w:ascii="宋体" w:hAnsi="宋体"/>
          <w:color w:val="auto"/>
          <w:szCs w:val="21"/>
        </w:rPr>
        <w:t>http://www.ccgp.gov.cn/</w:t>
      </w:r>
      <w:r>
        <w:rPr>
          <w:rFonts w:ascii="宋体" w:hAnsi="宋体"/>
          <w:szCs w:val="21"/>
        </w:rPr>
        <w:fldChar w:fldCharType="end"/>
      </w:r>
      <w:r>
        <w:rPr>
          <w:rFonts w:hint="eastAsia" w:ascii="宋体" w:hAnsi="宋体"/>
          <w:szCs w:val="21"/>
        </w:rPr>
        <w:t>）、东方招标网</w:t>
      </w:r>
      <w:r>
        <w:rPr>
          <w:rFonts w:ascii="宋体" w:hAnsi="宋体"/>
          <w:szCs w:val="21"/>
        </w:rPr>
        <w:fldChar w:fldCharType="begin"/>
      </w:r>
      <w:r>
        <w:rPr>
          <w:rFonts w:ascii="宋体" w:hAnsi="宋体"/>
          <w:szCs w:val="21"/>
        </w:rPr>
        <w:instrText xml:space="preserve">HYPERLINK "http://www.sz-otc.com（深圳东方招标采购网）"</w:instrText>
      </w:r>
      <w:r>
        <w:rPr>
          <w:rFonts w:ascii="宋体" w:hAnsi="宋体"/>
          <w:szCs w:val="21"/>
        </w:rPr>
        <w:fldChar w:fldCharType="separate"/>
      </w:r>
      <w:r>
        <w:rPr>
          <w:rStyle w:val="33"/>
          <w:rFonts w:hint="eastAsia" w:ascii="宋体" w:hAnsi="宋体"/>
          <w:color w:val="auto"/>
          <w:szCs w:val="21"/>
        </w:rPr>
        <w:t>（</w:t>
      </w:r>
      <w:r>
        <w:rPr>
          <w:szCs w:val="21"/>
        </w:rPr>
        <w:t xml:space="preserve"> </w:t>
      </w:r>
      <w:r>
        <w:rPr>
          <w:rStyle w:val="33"/>
          <w:rFonts w:ascii="宋体" w:hAnsi="宋体"/>
          <w:color w:val="auto"/>
          <w:szCs w:val="21"/>
        </w:rPr>
        <w:t>http://www.sz-otc.com/</w:t>
      </w:r>
      <w:r>
        <w:rPr>
          <w:rStyle w:val="33"/>
          <w:rFonts w:hint="eastAsia" w:ascii="宋体" w:hAnsi="宋体"/>
          <w:color w:val="auto"/>
          <w:szCs w:val="21"/>
        </w:rPr>
        <w:t>）</w:t>
      </w:r>
      <w:r>
        <w:rPr>
          <w:rFonts w:ascii="宋体" w:hAnsi="宋体"/>
          <w:szCs w:val="21"/>
        </w:rPr>
        <w:fldChar w:fldCharType="end"/>
      </w:r>
      <w:r>
        <w:rPr>
          <w:rFonts w:hint="eastAsia" w:ascii="宋体" w:hAnsi="宋体"/>
          <w:szCs w:val="21"/>
        </w:rPr>
        <w:t>等相关网站公示评标结果，公示期为</w:t>
      </w:r>
      <w:r>
        <w:rPr>
          <w:rFonts w:ascii="宋体" w:hAnsi="宋体"/>
          <w:szCs w:val="21"/>
        </w:rPr>
        <w:t xml:space="preserve"> </w:t>
      </w:r>
      <w:r>
        <w:rPr>
          <w:rFonts w:hint="eastAsia" w:ascii="宋体" w:hAnsi="宋体"/>
          <w:szCs w:val="21"/>
          <w:u w:val="single"/>
        </w:rPr>
        <w:t xml:space="preserve"> 1个</w:t>
      </w:r>
      <w:r>
        <w:rPr>
          <w:rFonts w:hint="eastAsia" w:ascii="宋体" w:hAnsi="宋体"/>
          <w:szCs w:val="21"/>
        </w:rPr>
        <w:t>工作日。若供应商对评标结果有异议，可在公示期内以供应商的名义提出书面质疑。</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《成交通知书》及《磋商结果通知书》的发放</w:t>
      </w:r>
    </w:p>
    <w:p>
      <w:pPr>
        <w:spacing w:line="400" w:lineRule="exact"/>
        <w:ind w:firstLine="420" w:firstLineChars="200"/>
        <w:rPr>
          <w:rFonts w:hint="eastAsia" w:hAnsi="宋体"/>
        </w:rPr>
      </w:pPr>
      <w:r>
        <w:rPr>
          <w:rFonts w:hint="eastAsia" w:hAnsi="宋体"/>
        </w:rPr>
        <w:t>磋商</w:t>
      </w:r>
      <w:r>
        <w:rPr>
          <w:rFonts w:hAnsi="宋体"/>
        </w:rPr>
        <w:t>结果公示期满，无任何质疑，或质疑已处理完毕后发放《成交通知书》</w:t>
      </w:r>
      <w:r>
        <w:rPr>
          <w:rFonts w:hint="eastAsia" w:hAnsi="宋体"/>
        </w:rPr>
        <w:t>或《</w:t>
      </w:r>
      <w:r>
        <w:rPr>
          <w:rFonts w:hint="eastAsia" w:ascii="宋体" w:hAnsi="宋体"/>
        </w:rPr>
        <w:t>磋商结果通知书</w:t>
      </w:r>
      <w:r>
        <w:rPr>
          <w:rFonts w:hint="eastAsia" w:hAnsi="宋体"/>
        </w:rPr>
        <w:t>》</w:t>
      </w:r>
      <w:r>
        <w:rPr>
          <w:rFonts w:hAnsi="宋体"/>
        </w:rPr>
        <w:t>。《成交通知书》将作为签订合同的</w:t>
      </w:r>
      <w:r>
        <w:rPr>
          <w:rFonts w:hint="eastAsia"/>
          <w:szCs w:val="21"/>
        </w:rPr>
        <w:t>有效法律文件</w:t>
      </w:r>
      <w:r>
        <w:rPr>
          <w:rFonts w:hAnsi="宋体"/>
        </w:rPr>
        <w:t>。</w:t>
      </w:r>
    </w:p>
    <w:p>
      <w:pPr>
        <w:pStyle w:val="14"/>
        <w:numPr>
          <w:ilvl w:val="0"/>
          <w:numId w:val="9"/>
        </w:numPr>
        <w:autoSpaceDE w:val="0"/>
        <w:autoSpaceDN w:val="0"/>
        <w:adjustRightInd w:val="0"/>
        <w:spacing w:line="400" w:lineRule="exact"/>
        <w:textAlignment w:val="baseline"/>
        <w:rPr>
          <w:rFonts w:hint="eastAsia" w:hAnsi="宋体"/>
        </w:rPr>
      </w:pPr>
      <w:r>
        <w:rPr>
          <w:rFonts w:hint="eastAsia"/>
          <w:b/>
          <w:sz w:val="21"/>
        </w:rPr>
        <w:t>成交服务费</w:t>
      </w:r>
    </w:p>
    <w:p>
      <w:pPr>
        <w:spacing w:line="336" w:lineRule="auto"/>
        <w:ind w:firstLine="315" w:firstLineChars="150"/>
        <w:rPr>
          <w:rFonts w:hint="eastAsia"/>
          <w:lang w:val="en-GB"/>
        </w:rPr>
      </w:pPr>
      <w:r>
        <w:rPr>
          <w:rFonts w:hint="eastAsia"/>
        </w:rPr>
        <w:t>23</w:t>
      </w:r>
      <w:r>
        <w:t>.1</w:t>
      </w:r>
      <w:r>
        <w:rPr>
          <w:rFonts w:hint="eastAsia"/>
        </w:rPr>
        <w:t>成交人在收到成交通知 3 日内向招标机构交纳成交服务费。</w:t>
      </w:r>
    </w:p>
    <w:p>
      <w:pPr>
        <w:spacing w:line="336" w:lineRule="auto"/>
        <w:ind w:firstLine="315" w:firstLineChars="150"/>
        <w:rPr>
          <w:rFonts w:hint="eastAsia"/>
        </w:rPr>
      </w:pPr>
      <w:r>
        <w:rPr>
          <w:rFonts w:hint="eastAsia"/>
        </w:rPr>
        <w:t>23.2以成交通知书确定的成交总金额作为收费的计算基数。</w:t>
      </w:r>
    </w:p>
    <w:p>
      <w:pPr>
        <w:spacing w:line="360" w:lineRule="auto"/>
        <w:ind w:firstLine="315" w:firstLineChars="150"/>
        <w:rPr>
          <w:rFonts w:ascii="宋体" w:hAnsi="宋体"/>
        </w:rPr>
      </w:pPr>
      <w:r>
        <w:rPr>
          <w:rFonts w:hint="eastAsia"/>
        </w:rPr>
        <w:t>23</w:t>
      </w:r>
      <w:r>
        <w:t>.</w:t>
      </w:r>
      <w:r>
        <w:rPr>
          <w:rFonts w:hint="eastAsia"/>
        </w:rPr>
        <w:t>3</w:t>
      </w:r>
      <w:r>
        <w:rPr>
          <w:rFonts w:hint="eastAsia" w:ascii="宋体" w:hAnsi="宋体"/>
        </w:rPr>
        <w:t>收费标准《深圳市财政委员会关于规范深圳市社会采购代理机构管理有关事项的补充通知》（深财购〔</w:t>
      </w:r>
      <w:r>
        <w:rPr>
          <w:rFonts w:ascii="宋体" w:hAnsi="宋体"/>
        </w:rPr>
        <w:t>2018</w:t>
      </w:r>
      <w:r>
        <w:rPr>
          <w:rFonts w:hint="eastAsia" w:ascii="宋体" w:hAnsi="宋体"/>
        </w:rPr>
        <w:t>〕</w:t>
      </w:r>
      <w:r>
        <w:rPr>
          <w:rFonts w:ascii="宋体" w:hAnsi="宋体"/>
        </w:rPr>
        <w:t>27</w:t>
      </w:r>
      <w:r>
        <w:rPr>
          <w:rFonts w:hint="eastAsia" w:ascii="宋体" w:hAnsi="宋体"/>
        </w:rPr>
        <w:t>号）的规定，按差额定率累进法计算收取，收费标准如下表所列：</w:t>
      </w:r>
    </w:p>
    <w:tbl>
      <w:tblPr>
        <w:tblStyle w:val="2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center"/>
          </w:tcPr>
          <w:p>
            <w:pPr>
              <w:spacing w:line="240" w:lineRule="atLeast"/>
              <w:jc w:val="center"/>
              <w:rPr>
                <w:szCs w:val="21"/>
              </w:rPr>
            </w:pPr>
            <w:r>
              <w:rPr>
                <w:rFonts w:hint="eastAsia" w:hAnsi="Calibri"/>
                <w:szCs w:val="21"/>
              </w:rPr>
              <w:t>成交</w:t>
            </w:r>
            <w:r>
              <w:rPr>
                <w:rFonts w:hAnsi="Calibri"/>
                <w:szCs w:val="21"/>
              </w:rPr>
              <w:t>金额</w:t>
            </w:r>
          </w:p>
          <w:p>
            <w:pPr>
              <w:spacing w:line="240" w:lineRule="atLeast"/>
              <w:jc w:val="center"/>
              <w:rPr>
                <w:szCs w:val="21"/>
              </w:rPr>
            </w:pPr>
            <w:r>
              <w:rPr>
                <w:rFonts w:hAnsi="Calibri"/>
                <w:szCs w:val="21"/>
              </w:rPr>
              <w:t>（万元）</w:t>
            </w:r>
          </w:p>
        </w:tc>
        <w:tc>
          <w:tcPr>
            <w:tcW w:w="2070" w:type="dxa"/>
            <w:noWrap w:val="0"/>
            <w:vAlign w:val="center"/>
          </w:tcPr>
          <w:p>
            <w:pPr>
              <w:spacing w:line="240" w:lineRule="atLeast"/>
              <w:jc w:val="center"/>
              <w:rPr>
                <w:szCs w:val="21"/>
              </w:rPr>
            </w:pPr>
            <w:r>
              <w:rPr>
                <w:rFonts w:hAnsi="Calibri"/>
                <w:szCs w:val="21"/>
              </w:rPr>
              <w:t>货物招标收费费率</w:t>
            </w:r>
          </w:p>
        </w:tc>
        <w:tc>
          <w:tcPr>
            <w:tcW w:w="2070" w:type="dxa"/>
            <w:noWrap w:val="0"/>
            <w:vAlign w:val="center"/>
          </w:tcPr>
          <w:p>
            <w:pPr>
              <w:spacing w:line="240" w:lineRule="atLeast"/>
              <w:jc w:val="center"/>
              <w:rPr>
                <w:szCs w:val="21"/>
              </w:rPr>
            </w:pPr>
            <w:r>
              <w:rPr>
                <w:rFonts w:hAnsi="Calibri"/>
                <w:szCs w:val="21"/>
              </w:rPr>
              <w:t>服务招标收费费率</w:t>
            </w:r>
          </w:p>
        </w:tc>
        <w:tc>
          <w:tcPr>
            <w:tcW w:w="2070" w:type="dxa"/>
            <w:noWrap w:val="0"/>
            <w:vAlign w:val="center"/>
          </w:tcPr>
          <w:p>
            <w:pPr>
              <w:spacing w:line="240" w:lineRule="atLeast"/>
              <w:jc w:val="center"/>
              <w:rPr>
                <w:szCs w:val="21"/>
              </w:rPr>
            </w:pPr>
            <w:r>
              <w:rPr>
                <w:rFonts w:hAnsi="Calibri"/>
                <w:szCs w:val="21"/>
              </w:rPr>
              <w:t>工程招标收费费率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top"/>
          </w:tcPr>
          <w:p>
            <w:pPr>
              <w:jc w:val="center"/>
              <w:rPr>
                <w:szCs w:val="21"/>
              </w:rPr>
            </w:pPr>
            <w:r>
              <w:rPr>
                <w:szCs w:val="21"/>
              </w:rPr>
              <w:t>100</w:t>
            </w:r>
            <w:r>
              <w:rPr>
                <w:rFonts w:hAnsi="Calibri"/>
                <w:szCs w:val="21"/>
              </w:rPr>
              <w:t>以下</w:t>
            </w:r>
          </w:p>
        </w:tc>
        <w:tc>
          <w:tcPr>
            <w:tcW w:w="2070" w:type="dxa"/>
            <w:noWrap w:val="0"/>
            <w:vAlign w:val="top"/>
          </w:tcPr>
          <w:p>
            <w:pPr>
              <w:jc w:val="center"/>
              <w:rPr>
                <w:szCs w:val="21"/>
              </w:rPr>
            </w:pPr>
            <w:r>
              <w:rPr>
                <w:szCs w:val="21"/>
              </w:rPr>
              <w:t>1.50%</w:t>
            </w:r>
          </w:p>
        </w:tc>
        <w:tc>
          <w:tcPr>
            <w:tcW w:w="2070" w:type="dxa"/>
            <w:noWrap w:val="0"/>
            <w:vAlign w:val="top"/>
          </w:tcPr>
          <w:p>
            <w:pPr>
              <w:jc w:val="center"/>
              <w:rPr>
                <w:szCs w:val="21"/>
              </w:rPr>
            </w:pPr>
            <w:r>
              <w:rPr>
                <w:szCs w:val="21"/>
              </w:rPr>
              <w:t>1.50%</w:t>
            </w:r>
          </w:p>
        </w:tc>
        <w:tc>
          <w:tcPr>
            <w:tcW w:w="2070" w:type="dxa"/>
            <w:noWrap w:val="0"/>
            <w:vAlign w:val="top"/>
          </w:tcPr>
          <w:p>
            <w:pPr>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top"/>
          </w:tcPr>
          <w:p>
            <w:pPr>
              <w:jc w:val="center"/>
              <w:rPr>
                <w:szCs w:val="21"/>
              </w:rPr>
            </w:pPr>
            <w:r>
              <w:rPr>
                <w:szCs w:val="21"/>
              </w:rPr>
              <w:t>100-500</w:t>
            </w:r>
          </w:p>
        </w:tc>
        <w:tc>
          <w:tcPr>
            <w:tcW w:w="2070" w:type="dxa"/>
            <w:noWrap w:val="0"/>
            <w:vAlign w:val="top"/>
          </w:tcPr>
          <w:p>
            <w:pPr>
              <w:jc w:val="center"/>
              <w:rPr>
                <w:szCs w:val="21"/>
              </w:rPr>
            </w:pPr>
            <w:r>
              <w:rPr>
                <w:szCs w:val="21"/>
              </w:rPr>
              <w:t>1.10%</w:t>
            </w:r>
          </w:p>
        </w:tc>
        <w:tc>
          <w:tcPr>
            <w:tcW w:w="2070" w:type="dxa"/>
            <w:noWrap w:val="0"/>
            <w:vAlign w:val="top"/>
          </w:tcPr>
          <w:p>
            <w:pPr>
              <w:jc w:val="center"/>
              <w:rPr>
                <w:szCs w:val="21"/>
              </w:rPr>
            </w:pPr>
            <w:r>
              <w:rPr>
                <w:szCs w:val="21"/>
              </w:rPr>
              <w:t>0.80%</w:t>
            </w:r>
          </w:p>
        </w:tc>
        <w:tc>
          <w:tcPr>
            <w:tcW w:w="2070" w:type="dxa"/>
            <w:noWrap w:val="0"/>
            <w:vAlign w:val="top"/>
          </w:tcPr>
          <w:p>
            <w:pPr>
              <w:jc w:val="center"/>
              <w:rPr>
                <w:szCs w:val="21"/>
              </w:rPr>
            </w:pPr>
            <w:r>
              <w:rPr>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top"/>
          </w:tcPr>
          <w:p>
            <w:pPr>
              <w:jc w:val="center"/>
              <w:rPr>
                <w:szCs w:val="21"/>
              </w:rPr>
            </w:pPr>
            <w:r>
              <w:rPr>
                <w:szCs w:val="21"/>
              </w:rPr>
              <w:t>500-1000</w:t>
            </w:r>
          </w:p>
        </w:tc>
        <w:tc>
          <w:tcPr>
            <w:tcW w:w="2070" w:type="dxa"/>
            <w:noWrap w:val="0"/>
            <w:vAlign w:val="top"/>
          </w:tcPr>
          <w:p>
            <w:pPr>
              <w:jc w:val="center"/>
              <w:rPr>
                <w:szCs w:val="21"/>
              </w:rPr>
            </w:pPr>
            <w:r>
              <w:rPr>
                <w:szCs w:val="21"/>
              </w:rPr>
              <w:t>0.80%</w:t>
            </w:r>
          </w:p>
        </w:tc>
        <w:tc>
          <w:tcPr>
            <w:tcW w:w="2070" w:type="dxa"/>
            <w:noWrap w:val="0"/>
            <w:vAlign w:val="top"/>
          </w:tcPr>
          <w:p>
            <w:pPr>
              <w:jc w:val="center"/>
              <w:rPr>
                <w:szCs w:val="21"/>
              </w:rPr>
            </w:pPr>
            <w:r>
              <w:rPr>
                <w:szCs w:val="21"/>
              </w:rPr>
              <w:t>0.45%</w:t>
            </w:r>
          </w:p>
        </w:tc>
        <w:tc>
          <w:tcPr>
            <w:tcW w:w="2070" w:type="dxa"/>
            <w:noWrap w:val="0"/>
            <w:vAlign w:val="top"/>
          </w:tcPr>
          <w:p>
            <w:pPr>
              <w:jc w:val="center"/>
              <w:rPr>
                <w:szCs w:val="21"/>
              </w:rPr>
            </w:pPr>
            <w:r>
              <w:rPr>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top"/>
          </w:tcPr>
          <w:p>
            <w:pPr>
              <w:jc w:val="center"/>
              <w:rPr>
                <w:szCs w:val="21"/>
              </w:rPr>
            </w:pPr>
            <w:r>
              <w:rPr>
                <w:szCs w:val="21"/>
              </w:rPr>
              <w:t>1000-5000</w:t>
            </w:r>
          </w:p>
        </w:tc>
        <w:tc>
          <w:tcPr>
            <w:tcW w:w="2070" w:type="dxa"/>
            <w:noWrap w:val="0"/>
            <w:vAlign w:val="top"/>
          </w:tcPr>
          <w:p>
            <w:pPr>
              <w:jc w:val="center"/>
              <w:rPr>
                <w:szCs w:val="21"/>
              </w:rPr>
            </w:pPr>
            <w:r>
              <w:rPr>
                <w:szCs w:val="21"/>
              </w:rPr>
              <w:t>0.50%</w:t>
            </w:r>
          </w:p>
        </w:tc>
        <w:tc>
          <w:tcPr>
            <w:tcW w:w="2070" w:type="dxa"/>
            <w:noWrap w:val="0"/>
            <w:vAlign w:val="top"/>
          </w:tcPr>
          <w:p>
            <w:pPr>
              <w:jc w:val="center"/>
              <w:rPr>
                <w:szCs w:val="21"/>
              </w:rPr>
            </w:pPr>
            <w:r>
              <w:rPr>
                <w:szCs w:val="21"/>
              </w:rPr>
              <w:t>0.25%</w:t>
            </w:r>
          </w:p>
        </w:tc>
        <w:tc>
          <w:tcPr>
            <w:tcW w:w="2070" w:type="dxa"/>
            <w:noWrap w:val="0"/>
            <w:vAlign w:val="top"/>
          </w:tcPr>
          <w:p>
            <w:pPr>
              <w:jc w:val="center"/>
              <w:rPr>
                <w:szCs w:val="21"/>
              </w:rPr>
            </w:pPr>
            <w:r>
              <w:rPr>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top"/>
          </w:tcPr>
          <w:p>
            <w:pPr>
              <w:jc w:val="center"/>
              <w:rPr>
                <w:szCs w:val="21"/>
              </w:rPr>
            </w:pPr>
            <w:r>
              <w:rPr>
                <w:szCs w:val="21"/>
              </w:rPr>
              <w:t>5000-10000</w:t>
            </w:r>
          </w:p>
        </w:tc>
        <w:tc>
          <w:tcPr>
            <w:tcW w:w="2070" w:type="dxa"/>
            <w:noWrap w:val="0"/>
            <w:vAlign w:val="top"/>
          </w:tcPr>
          <w:p>
            <w:pPr>
              <w:jc w:val="center"/>
              <w:rPr>
                <w:szCs w:val="21"/>
              </w:rPr>
            </w:pPr>
            <w:r>
              <w:rPr>
                <w:szCs w:val="21"/>
              </w:rPr>
              <w:t>0.25%</w:t>
            </w:r>
          </w:p>
        </w:tc>
        <w:tc>
          <w:tcPr>
            <w:tcW w:w="2070" w:type="dxa"/>
            <w:noWrap w:val="0"/>
            <w:vAlign w:val="top"/>
          </w:tcPr>
          <w:p>
            <w:pPr>
              <w:jc w:val="center"/>
              <w:rPr>
                <w:szCs w:val="21"/>
              </w:rPr>
            </w:pPr>
            <w:r>
              <w:rPr>
                <w:szCs w:val="21"/>
              </w:rPr>
              <w:t>0.10%</w:t>
            </w:r>
          </w:p>
        </w:tc>
        <w:tc>
          <w:tcPr>
            <w:tcW w:w="2070" w:type="dxa"/>
            <w:noWrap w:val="0"/>
            <w:vAlign w:val="top"/>
          </w:tcPr>
          <w:p>
            <w:pPr>
              <w:jc w:val="center"/>
              <w:rPr>
                <w:szCs w:val="21"/>
              </w:rPr>
            </w:pPr>
            <w:r>
              <w:rPr>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top"/>
          </w:tcPr>
          <w:p>
            <w:pPr>
              <w:jc w:val="center"/>
              <w:rPr>
                <w:szCs w:val="21"/>
              </w:rPr>
            </w:pPr>
            <w:r>
              <w:rPr>
                <w:szCs w:val="21"/>
              </w:rPr>
              <w:t>10000-50000</w:t>
            </w:r>
          </w:p>
        </w:tc>
        <w:tc>
          <w:tcPr>
            <w:tcW w:w="2070" w:type="dxa"/>
            <w:noWrap w:val="0"/>
            <w:vAlign w:val="top"/>
          </w:tcPr>
          <w:p>
            <w:pPr>
              <w:jc w:val="center"/>
              <w:rPr>
                <w:szCs w:val="21"/>
              </w:rPr>
            </w:pPr>
            <w:r>
              <w:rPr>
                <w:szCs w:val="21"/>
              </w:rPr>
              <w:t>0.05%</w:t>
            </w:r>
          </w:p>
        </w:tc>
        <w:tc>
          <w:tcPr>
            <w:tcW w:w="2070" w:type="dxa"/>
            <w:noWrap w:val="0"/>
            <w:vAlign w:val="top"/>
          </w:tcPr>
          <w:p>
            <w:pPr>
              <w:jc w:val="center"/>
              <w:rPr>
                <w:szCs w:val="21"/>
              </w:rPr>
            </w:pPr>
            <w:r>
              <w:rPr>
                <w:szCs w:val="21"/>
              </w:rPr>
              <w:t>0.05%</w:t>
            </w:r>
          </w:p>
        </w:tc>
        <w:tc>
          <w:tcPr>
            <w:tcW w:w="2070" w:type="dxa"/>
            <w:noWrap w:val="0"/>
            <w:vAlign w:val="top"/>
          </w:tcPr>
          <w:p>
            <w:pPr>
              <w:jc w:val="center"/>
              <w:rPr>
                <w:szCs w:val="21"/>
              </w:rPr>
            </w:pPr>
            <w:r>
              <w:rPr>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2070" w:type="dxa"/>
            <w:noWrap w:val="0"/>
            <w:vAlign w:val="top"/>
          </w:tcPr>
          <w:p>
            <w:pPr>
              <w:jc w:val="center"/>
              <w:rPr>
                <w:szCs w:val="21"/>
              </w:rPr>
            </w:pPr>
            <w:r>
              <w:rPr>
                <w:szCs w:val="21"/>
              </w:rPr>
              <w:t>50000-100000</w:t>
            </w:r>
          </w:p>
        </w:tc>
        <w:tc>
          <w:tcPr>
            <w:tcW w:w="2070" w:type="dxa"/>
            <w:noWrap w:val="0"/>
            <w:vAlign w:val="top"/>
          </w:tcPr>
          <w:p>
            <w:pPr>
              <w:jc w:val="center"/>
              <w:rPr>
                <w:szCs w:val="21"/>
              </w:rPr>
            </w:pPr>
            <w:r>
              <w:rPr>
                <w:szCs w:val="21"/>
              </w:rPr>
              <w:t>0.035%</w:t>
            </w:r>
          </w:p>
        </w:tc>
        <w:tc>
          <w:tcPr>
            <w:tcW w:w="2070" w:type="dxa"/>
            <w:noWrap w:val="0"/>
            <w:vAlign w:val="top"/>
          </w:tcPr>
          <w:p>
            <w:pPr>
              <w:jc w:val="center"/>
              <w:rPr>
                <w:szCs w:val="21"/>
              </w:rPr>
            </w:pPr>
            <w:r>
              <w:rPr>
                <w:szCs w:val="21"/>
              </w:rPr>
              <w:t>0.035%</w:t>
            </w:r>
          </w:p>
        </w:tc>
        <w:tc>
          <w:tcPr>
            <w:tcW w:w="2070" w:type="dxa"/>
            <w:noWrap w:val="0"/>
            <w:vAlign w:val="top"/>
          </w:tcPr>
          <w:p>
            <w:pPr>
              <w:jc w:val="center"/>
              <w:rPr>
                <w:szCs w:val="21"/>
              </w:rPr>
            </w:pPr>
            <w:r>
              <w:rPr>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2070" w:type="dxa"/>
            <w:noWrap w:val="0"/>
            <w:vAlign w:val="top"/>
          </w:tcPr>
          <w:p>
            <w:pPr>
              <w:jc w:val="center"/>
              <w:rPr>
                <w:szCs w:val="21"/>
              </w:rPr>
            </w:pPr>
            <w:r>
              <w:rPr>
                <w:szCs w:val="21"/>
              </w:rPr>
              <w:t>100000-500000</w:t>
            </w:r>
          </w:p>
        </w:tc>
        <w:tc>
          <w:tcPr>
            <w:tcW w:w="2070" w:type="dxa"/>
            <w:noWrap w:val="0"/>
            <w:vAlign w:val="top"/>
          </w:tcPr>
          <w:p>
            <w:pPr>
              <w:jc w:val="center"/>
              <w:rPr>
                <w:szCs w:val="21"/>
              </w:rPr>
            </w:pPr>
            <w:r>
              <w:rPr>
                <w:szCs w:val="21"/>
              </w:rPr>
              <w:t>0.008%</w:t>
            </w:r>
          </w:p>
        </w:tc>
        <w:tc>
          <w:tcPr>
            <w:tcW w:w="2070" w:type="dxa"/>
            <w:noWrap w:val="0"/>
            <w:vAlign w:val="top"/>
          </w:tcPr>
          <w:p>
            <w:pPr>
              <w:jc w:val="center"/>
              <w:rPr>
                <w:szCs w:val="21"/>
              </w:rPr>
            </w:pPr>
            <w:r>
              <w:rPr>
                <w:szCs w:val="21"/>
              </w:rPr>
              <w:t>0.008%</w:t>
            </w:r>
          </w:p>
        </w:tc>
        <w:tc>
          <w:tcPr>
            <w:tcW w:w="2070" w:type="dxa"/>
            <w:noWrap w:val="0"/>
            <w:vAlign w:val="top"/>
          </w:tcPr>
          <w:p>
            <w:pPr>
              <w:jc w:val="center"/>
              <w:rPr>
                <w:szCs w:val="21"/>
              </w:rPr>
            </w:pPr>
            <w:r>
              <w:rPr>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top"/>
          </w:tcPr>
          <w:p>
            <w:pPr>
              <w:jc w:val="center"/>
              <w:rPr>
                <w:szCs w:val="21"/>
              </w:rPr>
            </w:pPr>
            <w:r>
              <w:rPr>
                <w:szCs w:val="21"/>
              </w:rPr>
              <w:t>500000-1000000</w:t>
            </w:r>
          </w:p>
        </w:tc>
        <w:tc>
          <w:tcPr>
            <w:tcW w:w="2070" w:type="dxa"/>
            <w:noWrap w:val="0"/>
            <w:vAlign w:val="top"/>
          </w:tcPr>
          <w:p>
            <w:pPr>
              <w:jc w:val="center"/>
              <w:rPr>
                <w:szCs w:val="21"/>
              </w:rPr>
            </w:pPr>
            <w:r>
              <w:rPr>
                <w:szCs w:val="21"/>
              </w:rPr>
              <w:t>0.006%</w:t>
            </w:r>
          </w:p>
        </w:tc>
        <w:tc>
          <w:tcPr>
            <w:tcW w:w="2070" w:type="dxa"/>
            <w:noWrap w:val="0"/>
            <w:vAlign w:val="top"/>
          </w:tcPr>
          <w:p>
            <w:pPr>
              <w:jc w:val="center"/>
              <w:rPr>
                <w:szCs w:val="21"/>
              </w:rPr>
            </w:pPr>
            <w:r>
              <w:rPr>
                <w:szCs w:val="21"/>
              </w:rPr>
              <w:t>0.006%</w:t>
            </w:r>
          </w:p>
        </w:tc>
        <w:tc>
          <w:tcPr>
            <w:tcW w:w="2070" w:type="dxa"/>
            <w:noWrap w:val="0"/>
            <w:vAlign w:val="top"/>
          </w:tcPr>
          <w:p>
            <w:pPr>
              <w:jc w:val="center"/>
              <w:rPr>
                <w:szCs w:val="21"/>
              </w:rPr>
            </w:pPr>
            <w:r>
              <w:rPr>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070" w:type="dxa"/>
            <w:noWrap w:val="0"/>
            <w:vAlign w:val="top"/>
          </w:tcPr>
          <w:p>
            <w:pPr>
              <w:jc w:val="center"/>
              <w:rPr>
                <w:szCs w:val="21"/>
              </w:rPr>
            </w:pPr>
            <w:r>
              <w:rPr>
                <w:szCs w:val="21"/>
              </w:rPr>
              <w:t>1000000</w:t>
            </w:r>
            <w:r>
              <w:rPr>
                <w:rFonts w:hAnsi="Calibri"/>
                <w:szCs w:val="21"/>
              </w:rPr>
              <w:t>以上</w:t>
            </w:r>
          </w:p>
        </w:tc>
        <w:tc>
          <w:tcPr>
            <w:tcW w:w="2070" w:type="dxa"/>
            <w:noWrap w:val="0"/>
            <w:vAlign w:val="top"/>
          </w:tcPr>
          <w:p>
            <w:pPr>
              <w:jc w:val="center"/>
              <w:rPr>
                <w:szCs w:val="21"/>
              </w:rPr>
            </w:pPr>
            <w:r>
              <w:rPr>
                <w:szCs w:val="21"/>
              </w:rPr>
              <w:t>0.004%</w:t>
            </w:r>
          </w:p>
        </w:tc>
        <w:tc>
          <w:tcPr>
            <w:tcW w:w="2070" w:type="dxa"/>
            <w:noWrap w:val="0"/>
            <w:vAlign w:val="top"/>
          </w:tcPr>
          <w:p>
            <w:pPr>
              <w:jc w:val="center"/>
              <w:rPr>
                <w:szCs w:val="21"/>
              </w:rPr>
            </w:pPr>
            <w:r>
              <w:rPr>
                <w:szCs w:val="21"/>
              </w:rPr>
              <w:t>0.004%</w:t>
            </w:r>
          </w:p>
        </w:tc>
        <w:tc>
          <w:tcPr>
            <w:tcW w:w="2070" w:type="dxa"/>
            <w:noWrap w:val="0"/>
            <w:vAlign w:val="top"/>
          </w:tcPr>
          <w:p>
            <w:pPr>
              <w:jc w:val="center"/>
              <w:rPr>
                <w:szCs w:val="21"/>
              </w:rPr>
            </w:pPr>
            <w:r>
              <w:rPr>
                <w:szCs w:val="21"/>
              </w:rPr>
              <w:t>0.004%</w:t>
            </w:r>
          </w:p>
        </w:tc>
      </w:tr>
    </w:tbl>
    <w:p>
      <w:pPr>
        <w:rPr>
          <w:rFonts w:hint="eastAsia" w:hAnsi="宋体"/>
        </w:rPr>
      </w:pPr>
      <w:r>
        <w:rPr>
          <w:rFonts w:hint="eastAsia"/>
        </w:rPr>
        <w:t>23</w:t>
      </w:r>
      <w:r>
        <w:t>.</w:t>
      </w:r>
      <w:r>
        <w:rPr>
          <w:rFonts w:hint="eastAsia"/>
        </w:rPr>
        <w:t>4</w:t>
      </w:r>
      <w:r>
        <w:rPr>
          <w:b/>
        </w:rPr>
        <w:t>成交服务费</w:t>
      </w:r>
      <w:r>
        <w:rPr>
          <w:rFonts w:hint="eastAsia" w:ascii="宋体"/>
          <w:b/>
        </w:rPr>
        <w:t>不足人民币柒仟元整（¥7,000.00）按人民币柒仟元整（¥7,000.00）</w:t>
      </w:r>
      <w:r>
        <w:rPr>
          <w:b/>
        </w:rPr>
        <w:t>收取。</w:t>
      </w:r>
    </w:p>
    <w:p>
      <w:pPr>
        <w:rPr>
          <w:rFonts w:hint="eastAsia" w:ascii="宋体" w:hAnsi="宋体"/>
          <w:b/>
          <w:sz w:val="28"/>
        </w:rPr>
      </w:pPr>
      <w:r>
        <w:rPr>
          <w:rFonts w:hint="eastAsia" w:ascii="宋体" w:hAnsi="宋体"/>
          <w:b/>
          <w:sz w:val="28"/>
        </w:rPr>
        <w:t>六</w:t>
      </w:r>
      <w:r>
        <w:rPr>
          <w:rFonts w:ascii="宋体" w:hAnsi="宋体"/>
          <w:b/>
          <w:sz w:val="28"/>
        </w:rPr>
        <w:t xml:space="preserve">  </w:t>
      </w:r>
      <w:bookmarkStart w:id="124" w:name="Zongze15shouhetong30"/>
      <w:bookmarkEnd w:id="124"/>
      <w:r>
        <w:rPr>
          <w:rFonts w:hint="eastAsia" w:ascii="宋体" w:hAnsi="宋体"/>
          <w:b/>
          <w:sz w:val="28"/>
        </w:rPr>
        <w:t>授予合同</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授标时更改采购货物、工程或服务的权力</w:t>
      </w:r>
    </w:p>
    <w:p>
      <w:pPr>
        <w:spacing w:line="400" w:lineRule="exact"/>
        <w:ind w:firstLine="420" w:firstLineChars="200"/>
        <w:rPr>
          <w:rFonts w:hint="eastAsia"/>
          <w:szCs w:val="21"/>
        </w:rPr>
      </w:pPr>
      <w:r>
        <w:rPr>
          <w:rFonts w:ascii="宋体" w:hAnsi="宋体" w:cs="宋体"/>
          <w:kern w:val="0"/>
          <w:szCs w:val="21"/>
        </w:rPr>
        <w:t>合同履行中，采购人增加采购与合同标的相同的货物、工程或者服务的，经主管部门批准，可以与供应商协商签订补充采购合同，补充采购合同的金额不得超过原合同金额的百分之十，但合同总金额不得超过原计划数额。</w:t>
      </w:r>
    </w:p>
    <w:p>
      <w:pPr>
        <w:pStyle w:val="14"/>
        <w:numPr>
          <w:ilvl w:val="0"/>
          <w:numId w:val="9"/>
        </w:numPr>
        <w:autoSpaceDE w:val="0"/>
        <w:autoSpaceDN w:val="0"/>
        <w:adjustRightInd w:val="0"/>
        <w:spacing w:line="400" w:lineRule="exact"/>
        <w:textAlignment w:val="baseline"/>
        <w:rPr>
          <w:b/>
          <w:sz w:val="21"/>
        </w:rPr>
      </w:pPr>
      <w:r>
        <w:rPr>
          <w:rFonts w:hint="eastAsia"/>
          <w:b/>
          <w:sz w:val="21"/>
        </w:rPr>
        <w:t>签订合同</w:t>
      </w:r>
    </w:p>
    <w:p>
      <w:pPr>
        <w:spacing w:line="400" w:lineRule="exact"/>
        <w:ind w:firstLine="315" w:firstLineChars="150"/>
      </w:pPr>
      <w:r>
        <w:rPr>
          <w:rFonts w:hint="eastAsia"/>
        </w:rPr>
        <w:t>25</w:t>
      </w:r>
      <w:r>
        <w:t xml:space="preserve">.1 </w:t>
      </w:r>
      <w:r>
        <w:rPr>
          <w:rFonts w:hint="eastAsia"/>
        </w:rPr>
        <w:t xml:space="preserve"> 成交供应商应按《成交通知书》指定的时间、地点与采购人签订合同。</w:t>
      </w:r>
    </w:p>
    <w:p>
      <w:pPr>
        <w:spacing w:line="400" w:lineRule="exact"/>
        <w:ind w:firstLine="315" w:firstLineChars="150"/>
        <w:rPr>
          <w:rFonts w:hint="eastAsia"/>
        </w:rPr>
      </w:pPr>
      <w:r>
        <w:rPr>
          <w:rFonts w:hint="eastAsia"/>
        </w:rPr>
        <w:t>25</w:t>
      </w:r>
      <w:r>
        <w:t xml:space="preserve">.2 </w:t>
      </w:r>
      <w:r>
        <w:rPr>
          <w:rFonts w:hint="eastAsia"/>
        </w:rPr>
        <w:t>“竞争性磋商文件”、成交方的“磋商应答文件”及其相关报价的澄清文件等，均作为签订经济合同的依据。</w:t>
      </w:r>
    </w:p>
    <w:p>
      <w:pPr>
        <w:spacing w:line="400" w:lineRule="exact"/>
        <w:ind w:firstLine="315" w:firstLineChars="150"/>
        <w:rPr>
          <w:rFonts w:hint="eastAsia"/>
        </w:rPr>
      </w:pPr>
      <w:r>
        <w:rPr>
          <w:rFonts w:hint="eastAsia"/>
        </w:rPr>
        <w:t xml:space="preserve">25.3  </w:t>
      </w:r>
      <w:r>
        <w:rPr>
          <w:rFonts w:ascii="Calibri" w:hAnsi="Calibri"/>
          <w:szCs w:val="21"/>
        </w:rPr>
        <w:t>采购人与</w:t>
      </w:r>
      <w:r>
        <w:rPr>
          <w:rFonts w:hint="eastAsia"/>
        </w:rPr>
        <w:t>成交供应商</w:t>
      </w:r>
      <w:r>
        <w:rPr>
          <w:rFonts w:ascii="Calibri" w:hAnsi="Calibri"/>
          <w:szCs w:val="21"/>
        </w:rPr>
        <w:t>应当自中标或者成交通知书发出之日起三十日内按照</w:t>
      </w:r>
      <w:r>
        <w:rPr>
          <w:rFonts w:hint="eastAsia"/>
          <w:szCs w:val="21"/>
        </w:rPr>
        <w:t>采购</w:t>
      </w:r>
      <w:r>
        <w:rPr>
          <w:rFonts w:ascii="Calibri" w:hAnsi="Calibri"/>
          <w:szCs w:val="21"/>
        </w:rPr>
        <w:t>文件确定的事项签订政府采购合同。采购合同的实质性内容应当符合采购文件的规定。政府采购合同未约定或者约定不明的事项，采购人可以与供应商协商签订补充协议。补充协议不得变更采购合同的实质性内容。</w:t>
      </w:r>
    </w:p>
    <w:p>
      <w:pPr>
        <w:spacing w:line="400" w:lineRule="exact"/>
        <w:ind w:firstLine="315" w:firstLineChars="150"/>
        <w:rPr>
          <w:rFonts w:hint="eastAsia"/>
        </w:rPr>
      </w:pPr>
      <w:r>
        <w:rPr>
          <w:rFonts w:hint="eastAsia"/>
        </w:rPr>
        <w:t xml:space="preserve">25.4  </w:t>
      </w:r>
      <w:r>
        <w:rPr>
          <w:rFonts w:ascii="Calibri" w:hAnsi="Calibri"/>
          <w:szCs w:val="21"/>
        </w:rPr>
        <w:t>采购人应当自政府采购合同签订之日起十日内，将采购合同副本抄送政府集中采购机构备案。</w:t>
      </w:r>
    </w:p>
    <w:p>
      <w:pPr>
        <w:spacing w:line="400" w:lineRule="exact"/>
        <w:ind w:firstLine="315" w:firstLineChars="150"/>
        <w:rPr>
          <w:rFonts w:hint="eastAsia"/>
        </w:rPr>
      </w:pPr>
      <w:r>
        <w:rPr>
          <w:rFonts w:hint="eastAsia"/>
          <w:szCs w:val="21"/>
        </w:rPr>
        <w:t xml:space="preserve">25.5  </w:t>
      </w:r>
      <w:r>
        <w:rPr>
          <w:rFonts w:hint="eastAsia" w:hAnsi="宋体"/>
        </w:rPr>
        <w:t>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pStyle w:val="14"/>
        <w:numPr>
          <w:ilvl w:val="0"/>
          <w:numId w:val="9"/>
        </w:numPr>
        <w:autoSpaceDE w:val="0"/>
        <w:autoSpaceDN w:val="0"/>
        <w:adjustRightInd w:val="0"/>
        <w:spacing w:line="400" w:lineRule="exact"/>
        <w:textAlignment w:val="baseline"/>
        <w:rPr>
          <w:rFonts w:hint="eastAsia"/>
          <w:b/>
          <w:sz w:val="21"/>
        </w:rPr>
      </w:pPr>
      <w:r>
        <w:rPr>
          <w:rFonts w:hint="eastAsia"/>
          <w:b/>
          <w:sz w:val="21"/>
        </w:rPr>
        <w:t>接受和拒绝任何或所有报价的权利</w:t>
      </w:r>
    </w:p>
    <w:p>
      <w:pPr>
        <w:spacing w:line="400" w:lineRule="exact"/>
        <w:ind w:firstLine="420" w:firstLineChars="200"/>
        <w:rPr>
          <w:rFonts w:hint="eastAsia"/>
        </w:rPr>
      </w:pPr>
      <w:r>
        <w:rPr>
          <w:rFonts w:hint="eastAsia"/>
        </w:rPr>
        <w:t>招标机构和采购人保留在授标之前任何时候接受或拒绝任何报价，以及宣布程序无效或拒绝所有报价的权利，对受影响的供应商不承担任何责任。</w:t>
      </w: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ascii="华文新魏" w:eastAsia="华文新魏"/>
          <w:color w:val="FF0000"/>
          <w:sz w:val="72"/>
          <w:szCs w:val="72"/>
        </w:rPr>
      </w:pPr>
    </w:p>
    <w:p>
      <w:pPr>
        <w:pStyle w:val="2"/>
        <w:jc w:val="center"/>
        <w:rPr>
          <w:rFonts w:hint="eastAsia" w:ascii="华文新魏" w:eastAsia="华文新魏"/>
          <w:sz w:val="72"/>
          <w:szCs w:val="72"/>
        </w:rPr>
      </w:pPr>
      <w:bookmarkStart w:id="125" w:name="_Toc161306897"/>
      <w:r>
        <w:rPr>
          <w:rFonts w:hint="eastAsia" w:ascii="华文新魏" w:eastAsia="华文新魏"/>
          <w:sz w:val="72"/>
          <w:szCs w:val="72"/>
        </w:rPr>
        <w:t>第六章 参考合同及履约评价表</w:t>
      </w:r>
      <w:bookmarkEnd w:id="125"/>
    </w:p>
    <w:p>
      <w:pPr>
        <w:jc w:val="center"/>
        <w:rPr>
          <w:rFonts w:hint="eastAsia" w:ascii="宋体" w:hAnsi="宋体"/>
          <w:sz w:val="44"/>
        </w:rPr>
      </w:pPr>
    </w:p>
    <w:p>
      <w:pPr>
        <w:ind w:firstLine="1343" w:firstLineChars="446"/>
        <w:rPr>
          <w:rFonts w:hint="eastAsia"/>
          <w:b/>
          <w:sz w:val="30"/>
          <w:szCs w:val="30"/>
        </w:rPr>
      </w:pPr>
      <w:r>
        <w:rPr>
          <w:rFonts w:hint="eastAsia"/>
          <w:b/>
          <w:sz w:val="30"/>
          <w:szCs w:val="30"/>
        </w:rPr>
        <w:t>一、合同条款及格式（仅供参考）</w:t>
      </w:r>
    </w:p>
    <w:p>
      <w:pPr>
        <w:jc w:val="center"/>
        <w:rPr>
          <w:rFonts w:hint="eastAsia" w:ascii="宋体" w:hAnsi="宋体"/>
          <w:sz w:val="44"/>
        </w:rPr>
      </w:pPr>
      <w:r>
        <w:rPr>
          <w:rFonts w:hint="eastAsia"/>
          <w:b/>
          <w:sz w:val="30"/>
          <w:szCs w:val="30"/>
        </w:rPr>
        <w:t>二、政府采购履约情况反馈表</w:t>
      </w:r>
      <w:r>
        <w:rPr>
          <w:rFonts w:hint="eastAsia"/>
          <w:b/>
          <w:sz w:val="24"/>
        </w:rPr>
        <w:t>（履约评价表）</w:t>
      </w: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rFonts w:hint="eastAsia" w:ascii="宋体" w:hAnsi="宋体"/>
          <w:sz w:val="44"/>
        </w:rPr>
      </w:pPr>
    </w:p>
    <w:p>
      <w:pPr>
        <w:jc w:val="center"/>
        <w:rPr>
          <w:b/>
          <w:sz w:val="28"/>
          <w:szCs w:val="28"/>
        </w:rPr>
      </w:pPr>
      <w:r>
        <w:rPr>
          <w:b/>
          <w:sz w:val="28"/>
          <w:szCs w:val="28"/>
        </w:rPr>
        <w:br w:type="page"/>
      </w:r>
      <w:r>
        <w:rPr>
          <w:rFonts w:hint="eastAsia"/>
          <w:b/>
          <w:sz w:val="28"/>
          <w:szCs w:val="28"/>
        </w:rPr>
        <w:t>合同条款</w:t>
      </w:r>
    </w:p>
    <w:p>
      <w:pPr>
        <w:jc w:val="center"/>
        <w:rPr>
          <w:rFonts w:hint="eastAsia"/>
          <w:sz w:val="28"/>
          <w:szCs w:val="28"/>
        </w:rPr>
      </w:pPr>
      <w:r>
        <w:rPr>
          <w:rFonts w:hint="eastAsia"/>
          <w:b/>
          <w:sz w:val="28"/>
          <w:szCs w:val="28"/>
        </w:rPr>
        <w:t>（仅供参考，项目具体要求以招标项目需求为准）</w:t>
      </w:r>
    </w:p>
    <w:p>
      <w:pPr>
        <w:rPr>
          <w:rFonts w:hint="eastAsia"/>
        </w:rPr>
      </w:pPr>
    </w:p>
    <w:p>
      <w:pPr>
        <w:widowControl/>
        <w:spacing w:line="360" w:lineRule="auto"/>
        <w:jc w:val="left"/>
        <w:rPr>
          <w:rFonts w:ascii="仿宋" w:hAnsi="仿宋" w:eastAsia="仿宋"/>
          <w:kern w:val="0"/>
          <w:sz w:val="28"/>
          <w:szCs w:val="28"/>
        </w:rPr>
      </w:pPr>
      <w:r>
        <w:rPr>
          <w:rFonts w:hint="eastAsia" w:ascii="黑体" w:hAnsi="黑体" w:eastAsia="黑体"/>
          <w:kern w:val="0"/>
          <w:sz w:val="28"/>
          <w:szCs w:val="28"/>
        </w:rPr>
        <w:t>委托方（甲方）</w:t>
      </w:r>
      <w:r>
        <w:rPr>
          <w:rFonts w:hint="eastAsia" w:ascii="仿宋" w:hAnsi="仿宋" w:eastAsia="仿宋"/>
          <w:kern w:val="0"/>
          <w:sz w:val="28"/>
          <w:szCs w:val="28"/>
        </w:rPr>
        <w:t>：</w:t>
      </w:r>
      <w:r>
        <w:rPr>
          <w:rFonts w:hint="eastAsia" w:ascii="仿宋" w:hAnsi="仿宋" w:eastAsia="仿宋"/>
          <w:b/>
          <w:kern w:val="0"/>
          <w:sz w:val="28"/>
          <w:szCs w:val="28"/>
        </w:rPr>
        <w:t xml:space="preserve"> </w:t>
      </w:r>
    </w:p>
    <w:p>
      <w:pPr>
        <w:widowControl/>
        <w:spacing w:line="360" w:lineRule="auto"/>
        <w:jc w:val="left"/>
        <w:rPr>
          <w:rFonts w:ascii="仿宋" w:hAnsi="仿宋" w:eastAsia="仿宋"/>
          <w:kern w:val="0"/>
          <w:sz w:val="28"/>
          <w:szCs w:val="28"/>
        </w:rPr>
      </w:pPr>
      <w:r>
        <w:rPr>
          <w:rFonts w:hint="eastAsia" w:ascii="仿宋" w:hAnsi="仿宋" w:eastAsia="仿宋"/>
          <w:kern w:val="0"/>
          <w:sz w:val="28"/>
          <w:szCs w:val="28"/>
        </w:rPr>
        <w:t>地址：</w:t>
      </w:r>
    </w:p>
    <w:p>
      <w:pPr>
        <w:widowControl/>
        <w:spacing w:line="360" w:lineRule="auto"/>
        <w:jc w:val="left"/>
        <w:rPr>
          <w:rFonts w:ascii="仿宋" w:hAnsi="仿宋" w:eastAsia="仿宋"/>
          <w:kern w:val="0"/>
          <w:sz w:val="28"/>
          <w:szCs w:val="28"/>
          <w:u w:val="single"/>
        </w:rPr>
      </w:pPr>
      <w:r>
        <w:rPr>
          <w:rFonts w:hint="eastAsia" w:ascii="仿宋" w:hAnsi="仿宋" w:eastAsia="仿宋"/>
          <w:kern w:val="0"/>
          <w:sz w:val="28"/>
          <w:szCs w:val="28"/>
        </w:rPr>
        <w:t>联系人：</w:t>
      </w:r>
    </w:p>
    <w:p>
      <w:pPr>
        <w:widowControl/>
        <w:spacing w:line="360" w:lineRule="auto"/>
        <w:jc w:val="left"/>
        <w:rPr>
          <w:rFonts w:ascii="仿宋" w:hAnsi="仿宋" w:eastAsia="仿宋"/>
          <w:kern w:val="0"/>
          <w:sz w:val="28"/>
          <w:szCs w:val="28"/>
          <w:u w:val="single"/>
        </w:rPr>
      </w:pPr>
      <w:r>
        <w:rPr>
          <w:rFonts w:hint="eastAsia" w:ascii="仿宋" w:hAnsi="仿宋" w:eastAsia="仿宋"/>
          <w:kern w:val="0"/>
          <w:sz w:val="28"/>
          <w:szCs w:val="28"/>
        </w:rPr>
        <w:t>联系电话：</w:t>
      </w:r>
    </w:p>
    <w:p>
      <w:pPr>
        <w:widowControl/>
        <w:spacing w:line="360" w:lineRule="auto"/>
        <w:jc w:val="left"/>
        <w:rPr>
          <w:rFonts w:ascii="仿宋" w:hAnsi="仿宋" w:eastAsia="仿宋"/>
          <w:kern w:val="0"/>
          <w:sz w:val="28"/>
          <w:szCs w:val="28"/>
        </w:rPr>
      </w:pPr>
      <w:r>
        <w:rPr>
          <w:rFonts w:hint="eastAsia" w:ascii="黑体" w:hAnsi="黑体" w:eastAsia="黑体"/>
          <w:kern w:val="0"/>
          <w:sz w:val="28"/>
          <w:szCs w:val="28"/>
        </w:rPr>
        <w:t>受托方（乙方）</w:t>
      </w:r>
      <w:r>
        <w:rPr>
          <w:rFonts w:hint="eastAsia" w:ascii="仿宋" w:hAnsi="仿宋" w:eastAsia="仿宋"/>
          <w:kern w:val="0"/>
          <w:sz w:val="28"/>
          <w:szCs w:val="28"/>
        </w:rPr>
        <w:t>：</w:t>
      </w:r>
    </w:p>
    <w:p>
      <w:pPr>
        <w:widowControl/>
        <w:spacing w:line="360" w:lineRule="auto"/>
        <w:jc w:val="left"/>
        <w:rPr>
          <w:rFonts w:ascii="仿宋" w:hAnsi="仿宋" w:eastAsia="仿宋"/>
          <w:kern w:val="0"/>
          <w:sz w:val="28"/>
          <w:szCs w:val="28"/>
        </w:rPr>
      </w:pPr>
      <w:r>
        <w:rPr>
          <w:rFonts w:hint="eastAsia" w:ascii="仿宋" w:hAnsi="仿宋" w:eastAsia="仿宋"/>
          <w:kern w:val="0"/>
          <w:sz w:val="28"/>
          <w:szCs w:val="28"/>
        </w:rPr>
        <w:t>地址：</w:t>
      </w:r>
    </w:p>
    <w:p>
      <w:pPr>
        <w:widowControl/>
        <w:spacing w:line="360" w:lineRule="auto"/>
        <w:jc w:val="left"/>
        <w:rPr>
          <w:rFonts w:ascii="仿宋" w:hAnsi="仿宋" w:eastAsia="仿宋"/>
          <w:kern w:val="0"/>
          <w:sz w:val="28"/>
          <w:szCs w:val="28"/>
          <w:u w:val="single"/>
        </w:rPr>
      </w:pPr>
      <w:r>
        <w:rPr>
          <w:rFonts w:hint="eastAsia" w:ascii="仿宋" w:hAnsi="仿宋" w:eastAsia="仿宋"/>
          <w:kern w:val="0"/>
          <w:sz w:val="28"/>
          <w:szCs w:val="28"/>
        </w:rPr>
        <w:t>联系人：</w:t>
      </w:r>
    </w:p>
    <w:p>
      <w:pPr>
        <w:widowControl/>
        <w:spacing w:line="360" w:lineRule="auto"/>
        <w:jc w:val="left"/>
        <w:rPr>
          <w:rFonts w:ascii="仿宋" w:hAnsi="仿宋" w:eastAsia="仿宋"/>
          <w:kern w:val="0"/>
          <w:sz w:val="28"/>
          <w:szCs w:val="28"/>
          <w:u w:val="single"/>
        </w:rPr>
      </w:pPr>
      <w:r>
        <w:rPr>
          <w:rFonts w:hint="eastAsia" w:ascii="仿宋" w:hAnsi="仿宋" w:eastAsia="仿宋"/>
          <w:kern w:val="0"/>
          <w:sz w:val="28"/>
          <w:szCs w:val="28"/>
        </w:rPr>
        <w:t>联系电话：</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甲方委托乙方实施</w:t>
      </w:r>
      <w:r>
        <w:rPr>
          <w:rFonts w:hint="eastAsia" w:ascii="仿宋" w:hAnsi="仿宋" w:eastAsia="仿宋"/>
          <w:kern w:val="0"/>
          <w:sz w:val="28"/>
          <w:szCs w:val="28"/>
          <w:u w:val="single"/>
        </w:rPr>
        <w:t xml:space="preserve">               </w:t>
      </w:r>
      <w:r>
        <w:rPr>
          <w:rFonts w:hint="eastAsia" w:ascii="仿宋" w:hAnsi="仿宋" w:eastAsia="仿宋"/>
          <w:kern w:val="0"/>
          <w:sz w:val="28"/>
          <w:szCs w:val="28"/>
        </w:rPr>
        <w:t>项目，根据《中华人民共和国民法典》等有关法律规定，双方本着平等、自愿原则，经友好协商，就实施委托事项签订本合同。</w:t>
      </w:r>
    </w:p>
    <w:p>
      <w:pPr>
        <w:widowControl/>
        <w:numPr>
          <w:ilvl w:val="0"/>
          <w:numId w:val="11"/>
        </w:numPr>
        <w:spacing w:line="360" w:lineRule="auto"/>
        <w:ind w:hanging="318"/>
        <w:jc w:val="left"/>
        <w:rPr>
          <w:rFonts w:ascii="黑体" w:hAnsi="黑体" w:eastAsia="黑体"/>
          <w:bCs/>
          <w:kern w:val="0"/>
          <w:sz w:val="28"/>
          <w:szCs w:val="28"/>
        </w:rPr>
      </w:pPr>
      <w:r>
        <w:rPr>
          <w:rFonts w:hint="eastAsia" w:ascii="黑体" w:hAnsi="黑体" w:eastAsia="黑体"/>
          <w:bCs/>
          <w:kern w:val="0"/>
          <w:sz w:val="28"/>
          <w:szCs w:val="28"/>
        </w:rPr>
        <w:t>项目内容</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1.项目名称：</w:t>
      </w:r>
    </w:p>
    <w:p>
      <w:pPr>
        <w:widowControl/>
        <w:spacing w:line="360" w:lineRule="auto"/>
        <w:ind w:firstLine="560" w:firstLineChars="200"/>
        <w:jc w:val="left"/>
        <w:rPr>
          <w:rFonts w:ascii="仿宋" w:hAnsi="仿宋" w:eastAsia="仿宋"/>
          <w:kern w:val="0"/>
          <w:sz w:val="28"/>
          <w:szCs w:val="28"/>
          <w:u w:val="single"/>
        </w:rPr>
      </w:pPr>
      <w:r>
        <w:rPr>
          <w:rFonts w:hint="eastAsia" w:ascii="仿宋" w:hAnsi="仿宋" w:eastAsia="仿宋"/>
          <w:kern w:val="0"/>
          <w:sz w:val="28"/>
          <w:szCs w:val="28"/>
        </w:rPr>
        <w:t>2.项目内容及实施阶段：</w:t>
      </w:r>
    </w:p>
    <w:p>
      <w:pPr>
        <w:widowControl/>
        <w:numPr>
          <w:ilvl w:val="0"/>
          <w:numId w:val="11"/>
        </w:numPr>
        <w:spacing w:line="360" w:lineRule="auto"/>
        <w:ind w:hanging="318"/>
        <w:jc w:val="left"/>
        <w:rPr>
          <w:rFonts w:ascii="黑体" w:hAnsi="黑体" w:eastAsia="黑体"/>
          <w:bCs/>
          <w:kern w:val="0"/>
          <w:sz w:val="28"/>
          <w:szCs w:val="28"/>
        </w:rPr>
      </w:pPr>
      <w:r>
        <w:rPr>
          <w:rFonts w:hint="eastAsia" w:ascii="黑体" w:hAnsi="黑体" w:eastAsia="黑体"/>
          <w:bCs/>
          <w:kern w:val="0"/>
          <w:sz w:val="28"/>
          <w:szCs w:val="28"/>
        </w:rPr>
        <w:t>服务期限</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本合同的服务期限自年月日起至年月日为止。</w:t>
      </w:r>
    </w:p>
    <w:p>
      <w:pPr>
        <w:widowControl/>
        <w:numPr>
          <w:ilvl w:val="0"/>
          <w:numId w:val="11"/>
        </w:numPr>
        <w:spacing w:line="360" w:lineRule="auto"/>
        <w:ind w:hanging="318"/>
        <w:jc w:val="left"/>
        <w:rPr>
          <w:rFonts w:ascii="黑体" w:hAnsi="黑体" w:eastAsia="黑体"/>
          <w:kern w:val="0"/>
          <w:sz w:val="28"/>
          <w:szCs w:val="28"/>
        </w:rPr>
      </w:pPr>
      <w:r>
        <w:rPr>
          <w:rFonts w:hint="eastAsia" w:ascii="黑体" w:hAnsi="黑体" w:eastAsia="黑体"/>
          <w:kern w:val="0"/>
          <w:sz w:val="28"/>
          <w:szCs w:val="28"/>
        </w:rPr>
        <w:t>乙方人员配置</w:t>
      </w:r>
    </w:p>
    <w:p>
      <w:pPr>
        <w:widowControl/>
        <w:spacing w:line="360" w:lineRule="auto"/>
        <w:ind w:firstLine="560" w:firstLineChars="200"/>
        <w:jc w:val="left"/>
        <w:rPr>
          <w:rFonts w:ascii="仿宋" w:hAnsi="仿宋" w:eastAsia="仿宋"/>
          <w:kern w:val="0"/>
          <w:sz w:val="28"/>
          <w:szCs w:val="28"/>
          <w:u w:val="single"/>
        </w:rPr>
      </w:pPr>
      <w:r>
        <w:rPr>
          <w:rFonts w:hint="eastAsia" w:ascii="仿宋" w:hAnsi="仿宋" w:eastAsia="仿宋"/>
          <w:kern w:val="0"/>
          <w:sz w:val="28"/>
          <w:szCs w:val="28"/>
        </w:rPr>
        <w:t>1.为实施本项目，乙方指定为项目对接人（身份证号：</w:t>
      </w:r>
      <w:r>
        <w:rPr>
          <w:rFonts w:ascii="仿宋" w:hAnsi="仿宋" w:eastAsia="仿宋"/>
          <w:kern w:val="0"/>
          <w:sz w:val="28"/>
          <w:szCs w:val="28"/>
          <w:u w:val="single"/>
        </w:rPr>
        <w:sym w:font="仿宋" w:char="E5E5"/>
      </w:r>
      <w:r>
        <w:rPr>
          <w:rFonts w:ascii="仿宋" w:hAnsi="仿宋" w:eastAsia="仿宋"/>
          <w:kern w:val="0"/>
          <w:sz w:val="28"/>
          <w:szCs w:val="28"/>
          <w:u w:val="single"/>
        </w:rPr>
        <w:sym w:font="仿宋" w:char="E5E5"/>
      </w:r>
      <w:r>
        <w:rPr>
          <w:rFonts w:hint="eastAsia" w:ascii="仿宋" w:hAnsi="仿宋" w:eastAsia="仿宋"/>
          <w:kern w:val="0"/>
          <w:sz w:val="28"/>
          <w:szCs w:val="28"/>
        </w:rPr>
        <w:t>联系电话：）。乙方应配备项目工作人员名。其中</w:t>
      </w:r>
      <w:r>
        <w:rPr>
          <w:rFonts w:hint="eastAsia" w:ascii="仿宋" w:hAnsi="仿宋" w:eastAsia="仿宋"/>
          <w:kern w:val="0"/>
          <w:sz w:val="28"/>
          <w:szCs w:val="28"/>
          <w:u w:val="single"/>
        </w:rPr>
        <w:t xml:space="preserve">    （人员、职务、专业、资格等方面的具体要求）                                                       </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2.乙方保证上述工作人员信息的真实性，未经甲方同意，乙方不得擅自更换工作人员。乙方对工作人员的职务行为承担责任。</w:t>
      </w:r>
    </w:p>
    <w:p>
      <w:pPr>
        <w:widowControl/>
        <w:numPr>
          <w:ilvl w:val="0"/>
          <w:numId w:val="11"/>
        </w:numPr>
        <w:spacing w:line="360" w:lineRule="auto"/>
        <w:ind w:hanging="318"/>
        <w:jc w:val="left"/>
        <w:rPr>
          <w:rFonts w:ascii="黑体" w:hAnsi="黑体" w:eastAsia="黑体"/>
          <w:bCs/>
          <w:kern w:val="0"/>
          <w:sz w:val="28"/>
          <w:szCs w:val="28"/>
        </w:rPr>
      </w:pPr>
      <w:r>
        <w:rPr>
          <w:rFonts w:hint="eastAsia" w:ascii="黑体" w:hAnsi="黑体" w:eastAsia="黑体"/>
          <w:bCs/>
          <w:kern w:val="0"/>
          <w:sz w:val="28"/>
          <w:szCs w:val="28"/>
        </w:rPr>
        <w:t>委托费用及支付</w:t>
      </w:r>
    </w:p>
    <w:p>
      <w:pPr>
        <w:widowControl/>
        <w:spacing w:line="360" w:lineRule="auto"/>
        <w:ind w:firstLine="560" w:firstLineChars="200"/>
        <w:jc w:val="left"/>
        <w:rPr>
          <w:rFonts w:ascii="仿宋" w:hAnsi="仿宋" w:eastAsia="仿宋"/>
          <w:kern w:val="0"/>
          <w:sz w:val="28"/>
          <w:szCs w:val="28"/>
          <w:u w:val="single"/>
        </w:rPr>
      </w:pPr>
      <w:r>
        <w:rPr>
          <w:rFonts w:hint="eastAsia" w:ascii="仿宋" w:hAnsi="仿宋" w:eastAsia="仿宋"/>
          <w:kern w:val="0"/>
          <w:sz w:val="28"/>
          <w:szCs w:val="28"/>
        </w:rPr>
        <w:t>1.</w:t>
      </w:r>
      <w:r>
        <w:rPr>
          <w:rFonts w:hint="eastAsia" w:ascii="仿宋" w:hAnsi="仿宋" w:eastAsia="仿宋" w:cs="仿宋"/>
          <w:kern w:val="0"/>
          <w:sz w:val="28"/>
          <w:szCs w:val="28"/>
        </w:rPr>
        <w:t>合同总价根据实际情况而定。</w:t>
      </w:r>
      <w:r>
        <w:rPr>
          <w:rFonts w:hint="eastAsia" w:ascii="仿宋" w:hAnsi="仿宋" w:eastAsia="仿宋"/>
          <w:kern w:val="0"/>
          <w:sz w:val="28"/>
          <w:szCs w:val="28"/>
        </w:rPr>
        <w:t>合同费用包含但不限于因本合同履行而产生的税费、差旅费以及合理的利润等。除经协商一致变更本合同外，甲方无需再向乙方支付任何款项。</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2.经协商，双方约定选择以下方式向乙方支付费用：</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（1）</w:t>
      </w:r>
      <w:r>
        <w:rPr>
          <w:rFonts w:hint="eastAsia" w:ascii="仿宋" w:hAnsi="仿宋" w:eastAsia="仿宋"/>
          <w:b/>
          <w:kern w:val="0"/>
          <w:sz w:val="28"/>
          <w:szCs w:val="28"/>
        </w:rPr>
        <w:t>分期付款</w:t>
      </w:r>
      <w:r>
        <w:rPr>
          <w:rFonts w:hint="eastAsia" w:ascii="仿宋" w:hAnsi="仿宋" w:eastAsia="仿宋"/>
          <w:kern w:val="0"/>
          <w:sz w:val="28"/>
          <w:szCs w:val="28"/>
        </w:rPr>
        <w:t>：本合同经双方签订后日内，甲方向乙方支付合同总额的%，即人民币元整（小写：</w:t>
      </w:r>
      <w:r>
        <w:rPr>
          <w:rFonts w:eastAsia="仿宋_GB2312"/>
          <w:kern w:val="0"/>
          <w:sz w:val="30"/>
          <w:szCs w:val="30"/>
        </w:rPr>
        <w:t>¥</w:t>
      </w:r>
      <w:r>
        <w:rPr>
          <w:rFonts w:hint="eastAsia" w:ascii="仿宋" w:hAnsi="仿宋" w:eastAsia="仿宋"/>
          <w:kern w:val="0"/>
          <w:sz w:val="28"/>
          <w:szCs w:val="28"/>
        </w:rPr>
        <w:t>）；在服务成果经甲方验收合格后日内，甲方向乙方支付合同总额的%，即人民币元整（小写：</w:t>
      </w:r>
      <w:r>
        <w:rPr>
          <w:rFonts w:eastAsia="仿宋_GB2312"/>
          <w:kern w:val="0"/>
          <w:sz w:val="30"/>
          <w:szCs w:val="30"/>
        </w:rPr>
        <w:t>¥</w:t>
      </w:r>
      <w:r>
        <w:rPr>
          <w:rFonts w:hint="eastAsia" w:ascii="仿宋" w:hAnsi="仿宋" w:eastAsia="仿宋"/>
          <w:kern w:val="0"/>
          <w:sz w:val="28"/>
          <w:szCs w:val="28"/>
        </w:rPr>
        <w:t>）。其余费用自后日内支付完毕。</w:t>
      </w:r>
    </w:p>
    <w:p>
      <w:pPr>
        <w:widowControl/>
        <w:spacing w:line="360" w:lineRule="auto"/>
        <w:ind w:left="-210" w:leftChars="-100" w:firstLine="700" w:firstLineChars="250"/>
        <w:jc w:val="left"/>
        <w:rPr>
          <w:rFonts w:ascii="仿宋" w:hAnsi="仿宋" w:eastAsia="仿宋"/>
          <w:kern w:val="0"/>
          <w:sz w:val="28"/>
          <w:szCs w:val="28"/>
          <w:u w:val="single"/>
        </w:rPr>
      </w:pPr>
      <w:r>
        <w:rPr>
          <w:rFonts w:hint="eastAsia" w:ascii="仿宋" w:hAnsi="仿宋" w:eastAsia="仿宋"/>
          <w:kern w:val="0"/>
          <w:sz w:val="28"/>
          <w:szCs w:val="28"/>
        </w:rPr>
        <w:t>（2）</w:t>
      </w:r>
      <w:r>
        <w:rPr>
          <w:rFonts w:hint="eastAsia" w:ascii="仿宋" w:hAnsi="仿宋" w:eastAsia="仿宋"/>
          <w:b/>
          <w:kern w:val="0"/>
          <w:sz w:val="28"/>
          <w:szCs w:val="28"/>
        </w:rPr>
        <w:t>一次性付款：</w:t>
      </w:r>
      <w:r>
        <w:rPr>
          <w:rFonts w:hint="eastAsia" w:ascii="仿宋" w:hAnsi="仿宋" w:eastAsia="仿宋"/>
          <w:kern w:val="0"/>
          <w:sz w:val="28"/>
          <w:szCs w:val="28"/>
        </w:rPr>
        <w:t>乙方履约完毕，服务成果经甲方验收合格后</w:t>
      </w:r>
    </w:p>
    <w:p>
      <w:pPr>
        <w:widowControl/>
        <w:spacing w:line="360" w:lineRule="auto"/>
        <w:ind w:left="525" w:leftChars="50" w:hanging="420" w:hangingChars="150"/>
        <w:jc w:val="left"/>
        <w:rPr>
          <w:rFonts w:ascii="仿宋" w:hAnsi="仿宋" w:eastAsia="仿宋"/>
          <w:kern w:val="0"/>
          <w:sz w:val="28"/>
          <w:szCs w:val="28"/>
        </w:rPr>
      </w:pPr>
      <w:r>
        <w:rPr>
          <w:rFonts w:hint="eastAsia" w:ascii="仿宋" w:hAnsi="仿宋" w:eastAsia="仿宋"/>
          <w:kern w:val="0"/>
          <w:sz w:val="28"/>
          <w:szCs w:val="28"/>
        </w:rPr>
        <w:t>日内，甲方一次性支付合同款项人民币元整（小写：</w:t>
      </w:r>
      <w:r>
        <w:rPr>
          <w:rFonts w:eastAsia="仿宋_GB2312"/>
          <w:kern w:val="0"/>
          <w:sz w:val="30"/>
          <w:szCs w:val="30"/>
        </w:rPr>
        <w:t>¥</w:t>
      </w:r>
      <w:r>
        <w:rPr>
          <w:rFonts w:hint="eastAsia" w:ascii="仿宋" w:hAnsi="仿宋" w:eastAsia="仿宋"/>
          <w:kern w:val="0"/>
          <w:sz w:val="28"/>
          <w:szCs w:val="28"/>
        </w:rPr>
        <w:t>）。</w:t>
      </w:r>
    </w:p>
    <w:p>
      <w:pPr>
        <w:widowControl/>
        <w:spacing w:line="360" w:lineRule="auto"/>
        <w:ind w:firstLine="560" w:firstLineChars="200"/>
        <w:jc w:val="left"/>
        <w:rPr>
          <w:rFonts w:ascii="仿宋" w:hAnsi="仿宋" w:eastAsia="仿宋"/>
          <w:kern w:val="0"/>
          <w:sz w:val="28"/>
          <w:szCs w:val="28"/>
          <w:u w:val="single"/>
        </w:rPr>
      </w:pPr>
      <w:r>
        <w:rPr>
          <w:rFonts w:hint="eastAsia" w:ascii="仿宋" w:hAnsi="仿宋" w:eastAsia="仿宋"/>
          <w:kern w:val="0"/>
          <w:sz w:val="28"/>
          <w:szCs w:val="28"/>
        </w:rPr>
        <w:t>（3）</w:t>
      </w:r>
      <w:r>
        <w:rPr>
          <w:rFonts w:hint="eastAsia" w:ascii="仿宋" w:hAnsi="仿宋" w:eastAsia="仿宋"/>
          <w:b/>
          <w:kern w:val="0"/>
          <w:sz w:val="28"/>
          <w:szCs w:val="28"/>
        </w:rPr>
        <w:t>其他付款方式</w:t>
      </w:r>
      <w:r>
        <w:rPr>
          <w:rFonts w:hint="eastAsia" w:ascii="仿宋" w:hAnsi="仿宋" w:eastAsia="仿宋"/>
          <w:b/>
          <w:kern w:val="0"/>
          <w:sz w:val="28"/>
          <w:szCs w:val="28"/>
          <w:u w:val="single"/>
        </w:rPr>
        <w:t xml:space="preserve">：                                 </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3.</w:t>
      </w:r>
      <w:r>
        <w:rPr>
          <w:rFonts w:hint="eastAsia" w:ascii="仿宋" w:hAnsi="仿宋" w:eastAsia="仿宋"/>
          <w:kern w:val="0"/>
          <w:sz w:val="28"/>
          <w:szCs w:val="28"/>
        </w:rPr>
        <w:t>乙方应自付款期限届至前至少5个工作日向甲方出具符合规定的发票。</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kern w:val="0"/>
          <w:sz w:val="28"/>
          <w:szCs w:val="28"/>
        </w:rPr>
        <w:t>因政策规定、银行转账等原因导致合同款项支付延迟的，不视为甲方违约。</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4.乙方银行账户信息如下：</w:t>
      </w:r>
    </w:p>
    <w:p>
      <w:pPr>
        <w:widowControl/>
        <w:spacing w:line="360" w:lineRule="auto"/>
        <w:ind w:firstLine="560" w:firstLineChars="200"/>
        <w:jc w:val="left"/>
        <w:rPr>
          <w:rFonts w:ascii="仿宋" w:hAnsi="仿宋" w:eastAsia="仿宋"/>
          <w:kern w:val="0"/>
          <w:sz w:val="28"/>
          <w:szCs w:val="28"/>
          <w:u w:val="single"/>
        </w:rPr>
      </w:pPr>
      <w:r>
        <w:rPr>
          <w:rFonts w:hint="eastAsia" w:ascii="仿宋" w:hAnsi="仿宋" w:eastAsia="仿宋"/>
          <w:kern w:val="0"/>
          <w:sz w:val="28"/>
          <w:szCs w:val="28"/>
        </w:rPr>
        <w:t>开户单位：</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账号：</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开户行：</w:t>
      </w:r>
    </w:p>
    <w:p>
      <w:pPr>
        <w:widowControl/>
        <w:spacing w:line="360" w:lineRule="auto"/>
        <w:ind w:firstLine="560" w:firstLineChars="200"/>
        <w:jc w:val="left"/>
        <w:rPr>
          <w:kern w:val="0"/>
          <w:sz w:val="24"/>
        </w:rPr>
      </w:pPr>
      <w:r>
        <w:rPr>
          <w:rFonts w:hint="eastAsia" w:ascii="仿宋" w:hAnsi="仿宋" w:eastAsia="仿宋"/>
          <w:kern w:val="0"/>
          <w:sz w:val="28"/>
          <w:szCs w:val="28"/>
        </w:rPr>
        <w:t>纳税识别号：</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若上述银行账号信息发生变更，乙方应在付款日前7个工作日书面通知甲方，否则甲方按原账户信息付款的，视为乙方已收到相应支付款项。</w:t>
      </w:r>
    </w:p>
    <w:p>
      <w:pPr>
        <w:widowControl/>
        <w:numPr>
          <w:ilvl w:val="0"/>
          <w:numId w:val="11"/>
        </w:numPr>
        <w:spacing w:line="360" w:lineRule="auto"/>
        <w:ind w:hanging="318"/>
        <w:jc w:val="left"/>
        <w:rPr>
          <w:rFonts w:ascii="黑体" w:hAnsi="黑体" w:eastAsia="黑体" w:cs="华文仿宋"/>
          <w:kern w:val="0"/>
          <w:sz w:val="28"/>
          <w:szCs w:val="28"/>
          <w:u w:val="none" w:color="000000"/>
        </w:rPr>
      </w:pPr>
      <w:r>
        <w:rPr>
          <w:rFonts w:hint="eastAsia" w:ascii="黑体" w:hAnsi="黑体" w:eastAsia="黑体" w:cs="华文仿宋"/>
          <w:kern w:val="0"/>
          <w:sz w:val="28"/>
          <w:szCs w:val="28"/>
          <w:u w:val="none" w:color="000000"/>
        </w:rPr>
        <w:t>履约保函</w:t>
      </w:r>
    </w:p>
    <w:p>
      <w:pPr>
        <w:widowControl/>
        <w:spacing w:line="360" w:lineRule="auto"/>
        <w:ind w:left="567"/>
        <w:jc w:val="left"/>
        <w:rPr>
          <w:rFonts w:ascii="仿宋" w:hAnsi="仿宋" w:eastAsia="仿宋"/>
          <w:kern w:val="0"/>
          <w:sz w:val="28"/>
          <w:szCs w:val="28"/>
        </w:rPr>
      </w:pPr>
      <w:r>
        <w:rPr>
          <w:rFonts w:hint="eastAsia" w:ascii="仿宋" w:hAnsi="仿宋" w:eastAsia="仿宋"/>
          <w:kern w:val="0"/>
          <w:sz w:val="28"/>
          <w:szCs w:val="28"/>
        </w:rPr>
        <w:t>本合同：A.无履约保函</w:t>
      </w:r>
      <w:r>
        <w:rPr>
          <w:rFonts w:ascii="Wingdings 2" w:hAnsi="Wingdings 2" w:eastAsia="仿宋"/>
          <w:kern w:val="0"/>
          <w:sz w:val="28"/>
          <w:szCs w:val="28"/>
        </w:rPr>
        <w:sym w:font="Wingdings 2" w:char="F0A3"/>
      </w:r>
      <w:r>
        <w:rPr>
          <w:rFonts w:hint="eastAsia" w:ascii="仿宋" w:hAnsi="仿宋" w:eastAsia="仿宋"/>
          <w:kern w:val="0"/>
          <w:sz w:val="28"/>
          <w:szCs w:val="28"/>
        </w:rPr>
        <w:t>；           B.</w:t>
      </w:r>
      <w:r>
        <w:rPr>
          <w:rFonts w:hint="eastAsia" w:ascii="仿宋" w:hAnsi="仿宋" w:eastAsia="仿宋" w:cs="仿宋"/>
          <w:kern w:val="0"/>
          <w:sz w:val="28"/>
          <w:szCs w:val="28"/>
        </w:rPr>
        <w:t>有履约保函</w:t>
      </w:r>
      <w:r>
        <w:rPr>
          <w:rFonts w:hint="eastAsia" w:ascii="仿宋" w:hAnsi="仿宋" w:eastAsia="仿宋"/>
          <w:kern w:val="0"/>
          <w:sz w:val="28"/>
          <w:szCs w:val="28"/>
        </w:rPr>
        <w:t>□</w:t>
      </w:r>
      <w:r>
        <w:rPr>
          <w:rFonts w:hint="eastAsia" w:ascii="仿宋" w:hAnsi="仿宋" w:eastAsia="仿宋" w:cs="仿宋"/>
          <w:kern w:val="0"/>
          <w:sz w:val="28"/>
          <w:szCs w:val="28"/>
        </w:rPr>
        <w:t>。</w:t>
      </w:r>
    </w:p>
    <w:p>
      <w:pPr>
        <w:widowControl/>
        <w:spacing w:line="30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本合同约定有履约保函的，</w:t>
      </w:r>
      <w:r>
        <w:rPr>
          <w:rFonts w:hint="eastAsia" w:ascii="仿宋" w:hAnsi="仿宋" w:eastAsia="仿宋" w:cs="仿宋"/>
          <w:bCs/>
          <w:kern w:val="0"/>
          <w:sz w:val="28"/>
          <w:szCs w:val="28"/>
        </w:rPr>
        <w:t>乙方应于合同签订之日起日内,</w:t>
      </w:r>
      <w:r>
        <w:rPr>
          <w:rFonts w:hint="eastAsia" w:ascii="仿宋" w:hAnsi="仿宋" w:eastAsia="仿宋" w:cs="仿宋"/>
          <w:kern w:val="0"/>
          <w:sz w:val="28"/>
          <w:szCs w:val="28"/>
        </w:rPr>
        <w:t>向甲方提供银行出具的不可撤销履约保函，担保金额为：（大写）人民币，（小写）￥。在乙方承担支付义务或者赔偿责任时，甲方有权要求银行无条件支付款项。保函的其他要求由双方另行确定。</w:t>
      </w:r>
    </w:p>
    <w:p>
      <w:pPr>
        <w:widowControl/>
        <w:numPr>
          <w:ilvl w:val="0"/>
          <w:numId w:val="11"/>
        </w:numPr>
        <w:spacing w:line="360" w:lineRule="auto"/>
        <w:ind w:hanging="318"/>
        <w:jc w:val="left"/>
        <w:rPr>
          <w:rFonts w:ascii="黑体" w:hAnsi="黑体" w:eastAsia="黑体"/>
          <w:bCs/>
          <w:kern w:val="0"/>
          <w:sz w:val="28"/>
          <w:szCs w:val="28"/>
        </w:rPr>
      </w:pPr>
      <w:r>
        <w:rPr>
          <w:rFonts w:hint="eastAsia" w:ascii="黑体" w:hAnsi="黑体" w:eastAsia="黑体"/>
          <w:bCs/>
          <w:kern w:val="0"/>
          <w:sz w:val="28"/>
          <w:szCs w:val="28"/>
        </w:rPr>
        <w:t>知识产权</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1.乙方提供服务需要使用第三方知识产权的，应取得权利人许可或者授权并由乙方承担费用。</w:t>
      </w:r>
    </w:p>
    <w:p>
      <w:pPr>
        <w:widowControl/>
        <w:spacing w:line="360" w:lineRule="auto"/>
        <w:ind w:firstLine="560" w:firstLineChars="200"/>
        <w:jc w:val="left"/>
        <w:rPr>
          <w:rFonts w:ascii="仿宋" w:hAnsi="仿宋" w:eastAsia="仿宋"/>
          <w:bCs/>
          <w:kern w:val="0"/>
          <w:sz w:val="28"/>
          <w:szCs w:val="28"/>
        </w:rPr>
      </w:pPr>
      <w:r>
        <w:rPr>
          <w:rFonts w:ascii="仿宋" w:hAnsi="仿宋" w:eastAsia="仿宋"/>
          <w:bCs/>
          <w:kern w:val="0"/>
          <w:sz w:val="28"/>
          <w:szCs w:val="28"/>
        </w:rPr>
        <w:t>2</w:t>
      </w:r>
      <w:r>
        <w:rPr>
          <w:rFonts w:hint="eastAsia" w:ascii="仿宋" w:hAnsi="仿宋" w:eastAsia="仿宋"/>
          <w:bCs/>
          <w:kern w:val="0"/>
          <w:sz w:val="28"/>
          <w:szCs w:val="28"/>
        </w:rPr>
        <w:t>.乙方保证提供的成果不存在侵犯第三方合法权益（包括但不限于著作权、商标权、专利权等知识产权和物权等）的情形。如果任何第三方提出侵权指控，乙方须与该第三方交涉并承担由此发生的一切责任、费用和赔偿。</w:t>
      </w:r>
    </w:p>
    <w:p>
      <w:pPr>
        <w:widowControl/>
        <w:spacing w:line="360" w:lineRule="auto"/>
        <w:ind w:firstLine="560" w:firstLineChars="200"/>
        <w:jc w:val="left"/>
        <w:rPr>
          <w:rFonts w:ascii="仿宋" w:hAnsi="仿宋" w:eastAsia="仿宋"/>
          <w:bCs/>
          <w:kern w:val="0"/>
          <w:sz w:val="28"/>
          <w:szCs w:val="28"/>
        </w:rPr>
      </w:pPr>
      <w:r>
        <w:rPr>
          <w:rFonts w:ascii="仿宋" w:hAnsi="仿宋" w:eastAsia="仿宋"/>
          <w:bCs/>
          <w:kern w:val="0"/>
          <w:sz w:val="28"/>
          <w:szCs w:val="28"/>
        </w:rPr>
        <w:t>3</w:t>
      </w:r>
      <w:r>
        <w:rPr>
          <w:rFonts w:hint="eastAsia" w:ascii="仿宋" w:hAnsi="仿宋" w:eastAsia="仿宋"/>
          <w:bCs/>
          <w:kern w:val="0"/>
          <w:sz w:val="28"/>
          <w:szCs w:val="28"/>
        </w:rPr>
        <w:t>.乙方形成的服务成果的知识产权归甲方所有，未经甲方许可，乙方不得随意使用或者许可他人使用，但是乙方提供服务所使用材料和设备软件的知识产权除外。</w:t>
      </w:r>
    </w:p>
    <w:p>
      <w:pPr>
        <w:widowControl/>
        <w:numPr>
          <w:ilvl w:val="0"/>
          <w:numId w:val="11"/>
        </w:numPr>
        <w:spacing w:line="360" w:lineRule="auto"/>
        <w:ind w:hanging="318"/>
        <w:jc w:val="left"/>
        <w:rPr>
          <w:rFonts w:ascii="黑体" w:hAnsi="黑体" w:eastAsia="黑体"/>
          <w:bCs/>
          <w:kern w:val="0"/>
          <w:sz w:val="28"/>
          <w:szCs w:val="28"/>
        </w:rPr>
      </w:pPr>
      <w:r>
        <w:rPr>
          <w:rFonts w:hint="eastAsia" w:ascii="黑体" w:hAnsi="黑体" w:eastAsia="黑体"/>
          <w:bCs/>
          <w:kern w:val="0"/>
          <w:sz w:val="28"/>
          <w:szCs w:val="28"/>
        </w:rPr>
        <w:t>保密义务</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1.乙方有权依据合同约定和项目需要，向甲方了解有关情况，调阅有关资料等，甲方应予积极配合。</w:t>
      </w:r>
    </w:p>
    <w:p>
      <w:pPr>
        <w:widowControl/>
        <w:spacing w:line="360" w:lineRule="auto"/>
        <w:ind w:firstLine="560" w:firstLineChars="200"/>
        <w:jc w:val="left"/>
        <w:rPr>
          <w:rFonts w:ascii="仿宋" w:hAnsi="仿宋" w:eastAsia="仿宋"/>
          <w:bCs/>
          <w:kern w:val="0"/>
          <w:sz w:val="28"/>
          <w:szCs w:val="28"/>
        </w:rPr>
      </w:pPr>
      <w:r>
        <w:rPr>
          <w:rFonts w:ascii="仿宋" w:hAnsi="仿宋" w:eastAsia="仿宋"/>
          <w:bCs/>
          <w:kern w:val="0"/>
          <w:sz w:val="28"/>
          <w:szCs w:val="28"/>
        </w:rPr>
        <w:t>2</w:t>
      </w:r>
      <w:r>
        <w:rPr>
          <w:rFonts w:hint="eastAsia" w:ascii="仿宋" w:hAnsi="仿宋" w:eastAsia="仿宋"/>
          <w:bCs/>
          <w:kern w:val="0"/>
          <w:sz w:val="28"/>
          <w:szCs w:val="28"/>
        </w:rPr>
        <w:t>.乙方及其工作人员应当妥善保管和保护在提供服务中获取或者知悉的资料、信息，并履行保密义务。</w:t>
      </w:r>
    </w:p>
    <w:p>
      <w:pPr>
        <w:widowControl/>
        <w:spacing w:line="360" w:lineRule="auto"/>
        <w:ind w:firstLine="560" w:firstLineChars="200"/>
        <w:jc w:val="left"/>
        <w:rPr>
          <w:rFonts w:ascii="仿宋" w:hAnsi="仿宋" w:eastAsia="仿宋"/>
          <w:bCs/>
          <w:kern w:val="0"/>
          <w:sz w:val="28"/>
          <w:szCs w:val="28"/>
        </w:rPr>
      </w:pPr>
      <w:r>
        <w:rPr>
          <w:rFonts w:ascii="仿宋" w:hAnsi="仿宋" w:eastAsia="仿宋"/>
          <w:bCs/>
          <w:kern w:val="0"/>
          <w:sz w:val="28"/>
          <w:szCs w:val="28"/>
        </w:rPr>
        <w:t>3</w:t>
      </w:r>
      <w:r>
        <w:rPr>
          <w:rFonts w:hint="eastAsia" w:ascii="仿宋" w:hAnsi="仿宋" w:eastAsia="仿宋"/>
          <w:bCs/>
          <w:kern w:val="0"/>
          <w:sz w:val="28"/>
          <w:szCs w:val="28"/>
        </w:rPr>
        <w:t>.乙方及其工作人员不得私自复印、留存、泄漏本合同服务过程中从甲方获取的有关资料、信息。除非依照法律规定或者经甲方书面同意，乙方不得向第三方提供或披露本合同服务成果及本次服务范围内的有关资料和信息，也不得用于本合同履行以外的其他用途，并保证采取一切合理和必要的措施防止任何第三方接触到甲方的上述资料和信息。</w:t>
      </w:r>
    </w:p>
    <w:p>
      <w:pPr>
        <w:widowControl/>
        <w:spacing w:line="360" w:lineRule="auto"/>
        <w:ind w:firstLine="560" w:firstLineChars="200"/>
        <w:jc w:val="left"/>
        <w:rPr>
          <w:rFonts w:ascii="仿宋" w:hAnsi="仿宋" w:eastAsia="仿宋"/>
          <w:bCs/>
          <w:kern w:val="0"/>
          <w:sz w:val="28"/>
          <w:szCs w:val="28"/>
        </w:rPr>
      </w:pPr>
      <w:r>
        <w:rPr>
          <w:rFonts w:ascii="仿宋" w:hAnsi="仿宋" w:eastAsia="仿宋"/>
          <w:bCs/>
          <w:kern w:val="0"/>
          <w:sz w:val="28"/>
          <w:szCs w:val="28"/>
        </w:rPr>
        <w:t>4</w:t>
      </w:r>
      <w:r>
        <w:rPr>
          <w:rFonts w:hint="eastAsia" w:ascii="仿宋" w:hAnsi="仿宋" w:eastAsia="仿宋"/>
          <w:bCs/>
          <w:kern w:val="0"/>
          <w:sz w:val="28"/>
          <w:szCs w:val="28"/>
        </w:rPr>
        <w:t>.保密期限自本协议签订生效之日起至前述资料、信息被依法公开披露或成为公开信息之日止。合同中止、终止或者解除不视为解除保密义务，乙方仍应承担保密义务。</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5.甲方根据工作需要，可要求乙方签订保密协议及保密承诺书，一并作为合同的组成部分。</w:t>
      </w:r>
    </w:p>
    <w:p>
      <w:pPr>
        <w:widowControl/>
        <w:numPr>
          <w:ilvl w:val="0"/>
          <w:numId w:val="11"/>
        </w:numPr>
        <w:spacing w:line="360" w:lineRule="auto"/>
        <w:ind w:left="0" w:firstLine="560" w:firstLineChars="200"/>
        <w:jc w:val="left"/>
        <w:rPr>
          <w:rFonts w:ascii="黑体" w:hAnsi="黑体" w:eastAsia="黑体"/>
          <w:bCs/>
          <w:kern w:val="0"/>
          <w:sz w:val="28"/>
          <w:szCs w:val="28"/>
        </w:rPr>
      </w:pPr>
      <w:r>
        <w:rPr>
          <w:rFonts w:hint="eastAsia" w:ascii="黑体" w:hAnsi="黑体" w:eastAsia="黑体"/>
          <w:bCs/>
          <w:kern w:val="0"/>
          <w:sz w:val="28"/>
          <w:szCs w:val="28"/>
        </w:rPr>
        <w:t>服务要求</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1.中标人须完成本项目所需工作；</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2.投标人应给出完整详尽的项目实施计划，内容包括但不限于：项目组织实施计划，明确组织架构及人员组成、职责与分工；项目进度计划，明确项目任务的分解及阶段的划分，标识各阶段的起始时间及工作内容与目标。</w:t>
      </w:r>
    </w:p>
    <w:p>
      <w:pPr>
        <w:widowControl/>
        <w:spacing w:line="360" w:lineRule="auto"/>
        <w:ind w:firstLine="560" w:firstLineChars="200"/>
        <w:jc w:val="left"/>
        <w:rPr>
          <w:rFonts w:ascii="黑体" w:hAnsi="黑体" w:eastAsia="黑体"/>
          <w:bCs/>
          <w:kern w:val="0"/>
          <w:sz w:val="28"/>
          <w:szCs w:val="28"/>
        </w:rPr>
      </w:pPr>
      <w:r>
        <w:rPr>
          <w:rFonts w:hint="eastAsia" w:ascii="仿宋" w:hAnsi="仿宋" w:eastAsia="仿宋"/>
          <w:bCs/>
          <w:kern w:val="0"/>
          <w:sz w:val="28"/>
          <w:szCs w:val="28"/>
        </w:rPr>
        <w:t>3.其他合同未明示的相关工作。</w:t>
      </w:r>
    </w:p>
    <w:p>
      <w:pPr>
        <w:widowControl/>
        <w:numPr>
          <w:ilvl w:val="0"/>
          <w:numId w:val="11"/>
        </w:numPr>
        <w:spacing w:line="360" w:lineRule="auto"/>
        <w:ind w:left="0" w:firstLine="560" w:firstLineChars="200"/>
        <w:jc w:val="left"/>
        <w:rPr>
          <w:rFonts w:ascii="黑体" w:hAnsi="黑体" w:eastAsia="黑体"/>
          <w:bCs/>
          <w:kern w:val="0"/>
          <w:sz w:val="28"/>
          <w:szCs w:val="28"/>
        </w:rPr>
      </w:pPr>
      <w:r>
        <w:rPr>
          <w:rFonts w:hint="eastAsia" w:ascii="黑体" w:hAnsi="黑体" w:eastAsia="黑体"/>
          <w:bCs/>
          <w:kern w:val="0"/>
          <w:sz w:val="28"/>
          <w:szCs w:val="28"/>
        </w:rPr>
        <w:t>其他权利和义务</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1.甲方认为乙方指派的人员不能胜任甲方工作的，可要求乙方另行指派。</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2.乙方应对其指派的工作人员进行岗前培训教育，对该工作人员在工作中的人身损害以及对第三人造成的人身和财产损害承担赔偿责任。</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3.中标人应组建一个专门的技术支持和售后服务团队,以及时响应用户的要求。</w:t>
      </w:r>
    </w:p>
    <w:p>
      <w:pPr>
        <w:widowControl/>
        <w:numPr>
          <w:ilvl w:val="0"/>
          <w:numId w:val="11"/>
        </w:numPr>
        <w:spacing w:line="360" w:lineRule="auto"/>
        <w:ind w:left="0" w:firstLine="560" w:firstLineChars="200"/>
        <w:jc w:val="left"/>
        <w:rPr>
          <w:rFonts w:ascii="黑体" w:hAnsi="黑体" w:eastAsia="黑体"/>
          <w:bCs/>
          <w:kern w:val="0"/>
          <w:sz w:val="28"/>
          <w:szCs w:val="28"/>
        </w:rPr>
      </w:pPr>
      <w:r>
        <w:rPr>
          <w:rFonts w:hint="eastAsia" w:ascii="黑体" w:hAnsi="黑体" w:eastAsia="黑体"/>
          <w:bCs/>
          <w:kern w:val="0"/>
          <w:sz w:val="28"/>
          <w:szCs w:val="28"/>
        </w:rPr>
        <w:t>合同转让</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乙方不得将服务项目</w:t>
      </w:r>
      <w:r>
        <w:rPr>
          <w:rFonts w:hint="eastAsia" w:ascii="仿宋" w:hAnsi="仿宋" w:eastAsia="仿宋" w:cs="仿宋"/>
          <w:kern w:val="0"/>
          <w:sz w:val="28"/>
          <w:szCs w:val="28"/>
        </w:rPr>
        <w:t>非法</w:t>
      </w:r>
      <w:r>
        <w:rPr>
          <w:rFonts w:hint="eastAsia" w:ascii="仿宋" w:hAnsi="仿宋" w:eastAsia="仿宋"/>
          <w:bCs/>
          <w:kern w:val="0"/>
          <w:sz w:val="28"/>
          <w:szCs w:val="28"/>
        </w:rPr>
        <w:t>转包或分包给任何单位和个人。一经发现，甲方有权立即终止合同。</w:t>
      </w:r>
    </w:p>
    <w:p>
      <w:pPr>
        <w:widowControl/>
        <w:numPr>
          <w:ilvl w:val="0"/>
          <w:numId w:val="11"/>
        </w:numPr>
        <w:spacing w:line="360" w:lineRule="auto"/>
        <w:ind w:left="0" w:firstLine="560" w:firstLineChars="200"/>
        <w:jc w:val="left"/>
        <w:rPr>
          <w:rFonts w:ascii="黑体" w:hAnsi="黑体" w:eastAsia="黑体"/>
          <w:bCs/>
          <w:kern w:val="0"/>
          <w:sz w:val="28"/>
          <w:szCs w:val="28"/>
        </w:rPr>
      </w:pPr>
      <w:r>
        <w:rPr>
          <w:rFonts w:hint="eastAsia" w:ascii="黑体" w:hAnsi="黑体" w:eastAsia="黑体"/>
          <w:bCs/>
          <w:kern w:val="0"/>
          <w:sz w:val="28"/>
          <w:szCs w:val="28"/>
        </w:rPr>
        <w:t>违约责任</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bCs/>
          <w:kern w:val="0"/>
          <w:sz w:val="28"/>
          <w:szCs w:val="28"/>
        </w:rPr>
        <w:t>1.因乙方提供的服务成果受到侵权指控或者引发法律纠纷，影响甲方使用服务成果或者导致合同目的不能实现的，甲方有权要求乙方</w:t>
      </w:r>
      <w:r>
        <w:rPr>
          <w:rFonts w:hint="eastAsia" w:ascii="仿宋" w:hAnsi="仿宋" w:eastAsia="仿宋"/>
          <w:kern w:val="0"/>
          <w:sz w:val="28"/>
          <w:szCs w:val="28"/>
        </w:rPr>
        <w:t>按合同总额%支付违约金，并有权解除合同。</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2.</w:t>
      </w:r>
      <w:r>
        <w:rPr>
          <w:rFonts w:hint="eastAsia" w:ascii="仿宋" w:hAnsi="仿宋" w:eastAsia="仿宋"/>
          <w:kern w:val="0"/>
          <w:sz w:val="28"/>
          <w:szCs w:val="28"/>
        </w:rPr>
        <w:t>未经甲方同意，乙方擅自将合同义务的全部或者部分转让给第三人的，</w:t>
      </w:r>
      <w:r>
        <w:rPr>
          <w:rFonts w:hint="eastAsia" w:ascii="仿宋" w:hAnsi="仿宋" w:eastAsia="仿宋"/>
          <w:bCs/>
          <w:kern w:val="0"/>
          <w:sz w:val="28"/>
          <w:szCs w:val="28"/>
        </w:rPr>
        <w:t>甲方有权要求乙方按</w:t>
      </w:r>
      <w:r>
        <w:rPr>
          <w:rFonts w:hint="eastAsia" w:ascii="仿宋" w:hAnsi="仿宋" w:eastAsia="仿宋"/>
          <w:kern w:val="0"/>
          <w:sz w:val="28"/>
          <w:szCs w:val="28"/>
        </w:rPr>
        <w:t>合同总额</w:t>
      </w:r>
      <w:r>
        <w:rPr>
          <w:rFonts w:ascii="仿宋" w:hAnsi="仿宋" w:eastAsia="仿宋"/>
          <w:bCs/>
          <w:kern w:val="0"/>
          <w:sz w:val="28"/>
          <w:szCs w:val="28"/>
        </w:rPr>
        <w:t>%支付违约金，并有权解除合同</w:t>
      </w:r>
      <w:r>
        <w:rPr>
          <w:rFonts w:hint="eastAsia" w:ascii="仿宋" w:hAnsi="仿宋" w:eastAsia="仿宋"/>
          <w:bCs/>
          <w:kern w:val="0"/>
          <w:sz w:val="28"/>
          <w:szCs w:val="28"/>
        </w:rPr>
        <w:t>，要求乙方返还甲方已支付的合同款项</w:t>
      </w:r>
      <w:r>
        <w:rPr>
          <w:rFonts w:ascii="仿宋" w:hAnsi="仿宋" w:eastAsia="仿宋"/>
          <w:bCs/>
          <w:kern w:val="0"/>
          <w:sz w:val="28"/>
          <w:szCs w:val="28"/>
        </w:rPr>
        <w:t>。</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3.乙方或其工作人员违反本合同约定的保密义务，甲方有权要求乙方</w:t>
      </w:r>
      <w:r>
        <w:rPr>
          <w:rFonts w:hint="eastAsia" w:ascii="仿宋" w:hAnsi="仿宋" w:eastAsia="仿宋"/>
          <w:kern w:val="0"/>
          <w:sz w:val="28"/>
          <w:szCs w:val="28"/>
        </w:rPr>
        <w:t>按合同总额%支付违约金</w:t>
      </w:r>
      <w:r>
        <w:rPr>
          <w:rFonts w:hint="eastAsia" w:ascii="仿宋" w:hAnsi="仿宋" w:eastAsia="仿宋"/>
          <w:bCs/>
          <w:kern w:val="0"/>
          <w:sz w:val="28"/>
          <w:szCs w:val="28"/>
        </w:rPr>
        <w:t>；造成不良影响或对甲方造成损失的，甲方有权要求乙方消除影响，承担赔偿责任，并有权解除合同。</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bCs/>
          <w:kern w:val="0"/>
          <w:sz w:val="28"/>
          <w:szCs w:val="28"/>
        </w:rPr>
        <w:t>4.</w:t>
      </w:r>
      <w:r>
        <w:rPr>
          <w:rFonts w:hint="eastAsia" w:ascii="仿宋" w:hAnsi="仿宋" w:eastAsia="仿宋"/>
          <w:kern w:val="0"/>
          <w:sz w:val="28"/>
          <w:szCs w:val="28"/>
        </w:rPr>
        <w:t>甲方逾期支付合同费用的，每逾期1日按照逾期金额‰向乙方支付逾期违约金。</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5.合同任意一方无正当理由擅自解除合同的，应当向另一方</w:t>
      </w:r>
      <w:r>
        <w:rPr>
          <w:rFonts w:hint="eastAsia" w:ascii="仿宋" w:hAnsi="仿宋" w:eastAsia="仿宋"/>
          <w:kern w:val="0"/>
          <w:sz w:val="28"/>
          <w:szCs w:val="28"/>
        </w:rPr>
        <w:t>按合同总额%承担违约责任</w:t>
      </w:r>
      <w:r>
        <w:rPr>
          <w:rFonts w:hint="eastAsia" w:ascii="仿宋" w:hAnsi="仿宋" w:eastAsia="仿宋"/>
          <w:bCs/>
          <w:kern w:val="0"/>
          <w:sz w:val="28"/>
          <w:szCs w:val="28"/>
        </w:rPr>
        <w:t>。</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6.本合同约定的违约金总额不超过合同总额的30%。乙方的赔偿范围还应包括公证费、担保费、律师费等款项。</w:t>
      </w:r>
    </w:p>
    <w:p>
      <w:pPr>
        <w:widowControl/>
        <w:numPr>
          <w:ilvl w:val="0"/>
          <w:numId w:val="11"/>
        </w:numPr>
        <w:spacing w:line="360" w:lineRule="auto"/>
        <w:ind w:left="0" w:firstLine="560" w:firstLineChars="200"/>
        <w:jc w:val="left"/>
        <w:rPr>
          <w:rFonts w:ascii="黑体" w:hAnsi="黑体" w:eastAsia="黑体"/>
          <w:bCs/>
          <w:kern w:val="0"/>
          <w:sz w:val="28"/>
          <w:szCs w:val="28"/>
        </w:rPr>
      </w:pPr>
      <w:r>
        <w:rPr>
          <w:rFonts w:hint="eastAsia" w:ascii="黑体" w:hAnsi="黑体" w:eastAsia="黑体"/>
          <w:bCs/>
          <w:kern w:val="0"/>
          <w:sz w:val="28"/>
          <w:szCs w:val="28"/>
        </w:rPr>
        <w:t>不可抗力</w:t>
      </w:r>
    </w:p>
    <w:p>
      <w:pPr>
        <w:widowControl/>
        <w:spacing w:line="360" w:lineRule="auto"/>
        <w:ind w:firstLine="560" w:firstLineChars="200"/>
        <w:jc w:val="left"/>
        <w:rPr>
          <w:rFonts w:ascii="仿宋" w:hAnsi="仿宋" w:eastAsia="仿宋"/>
          <w:bCs/>
          <w:kern w:val="0"/>
          <w:sz w:val="28"/>
          <w:szCs w:val="28"/>
        </w:rPr>
      </w:pPr>
      <w:r>
        <w:rPr>
          <w:rFonts w:ascii="仿宋" w:hAnsi="仿宋" w:eastAsia="仿宋"/>
          <w:bCs/>
          <w:kern w:val="0"/>
          <w:sz w:val="28"/>
          <w:szCs w:val="28"/>
        </w:rPr>
        <w:t>1</w:t>
      </w:r>
      <w:r>
        <w:rPr>
          <w:rFonts w:hint="eastAsia" w:ascii="仿宋" w:hAnsi="仿宋" w:eastAsia="仿宋"/>
          <w:bCs/>
          <w:kern w:val="0"/>
          <w:sz w:val="28"/>
          <w:szCs w:val="28"/>
        </w:rPr>
        <w:t>.如果任何一方遭遇法律规定的不可抗力，致使合同履行受阻时，履行合同的期限应予延长，延长的期限应相当于不可抗力所影响的时间；</w:t>
      </w:r>
    </w:p>
    <w:p>
      <w:pPr>
        <w:widowControl/>
        <w:spacing w:line="360" w:lineRule="auto"/>
        <w:ind w:firstLine="560" w:firstLineChars="200"/>
        <w:jc w:val="left"/>
        <w:rPr>
          <w:rFonts w:ascii="仿宋" w:hAnsi="仿宋" w:eastAsia="仿宋"/>
          <w:bCs/>
          <w:kern w:val="0"/>
          <w:sz w:val="28"/>
          <w:szCs w:val="28"/>
        </w:rPr>
      </w:pPr>
      <w:r>
        <w:rPr>
          <w:rFonts w:hint="eastAsia" w:ascii="仿宋" w:hAnsi="仿宋" w:eastAsia="仿宋"/>
          <w:bCs/>
          <w:kern w:val="0"/>
          <w:sz w:val="28"/>
          <w:szCs w:val="28"/>
        </w:rPr>
        <w:t>2.因不可抗力致使不能实现合同目的的，当事人可以解除合同；</w:t>
      </w:r>
    </w:p>
    <w:p>
      <w:pPr>
        <w:widowControl/>
        <w:spacing w:line="360" w:lineRule="auto"/>
        <w:ind w:firstLine="560" w:firstLineChars="200"/>
        <w:jc w:val="left"/>
        <w:rPr>
          <w:rFonts w:ascii="仿宋" w:hAnsi="仿宋" w:eastAsia="仿宋"/>
          <w:bCs/>
          <w:kern w:val="0"/>
          <w:sz w:val="28"/>
          <w:szCs w:val="28"/>
        </w:rPr>
      </w:pPr>
      <w:r>
        <w:rPr>
          <w:rFonts w:ascii="仿宋" w:hAnsi="仿宋" w:eastAsia="仿宋"/>
          <w:bCs/>
          <w:kern w:val="0"/>
          <w:sz w:val="28"/>
          <w:szCs w:val="28"/>
        </w:rPr>
        <w:t>3</w:t>
      </w:r>
      <w:r>
        <w:rPr>
          <w:rFonts w:hint="eastAsia" w:ascii="仿宋" w:hAnsi="仿宋" w:eastAsia="仿宋"/>
          <w:bCs/>
          <w:kern w:val="0"/>
          <w:sz w:val="28"/>
          <w:szCs w:val="28"/>
        </w:rPr>
        <w:t>.受不可抗力影响的一方在不可抗力发生后，应当及时以书面形式通知对方当事人，如有关部门出具证明文件的，应当及时送达对方当事人。</w:t>
      </w:r>
    </w:p>
    <w:p>
      <w:pPr>
        <w:widowControl/>
        <w:numPr>
          <w:ilvl w:val="0"/>
          <w:numId w:val="11"/>
        </w:numPr>
        <w:spacing w:line="360" w:lineRule="auto"/>
        <w:ind w:left="0" w:firstLine="560" w:firstLineChars="200"/>
        <w:jc w:val="left"/>
        <w:rPr>
          <w:rFonts w:ascii="黑体" w:hAnsi="黑体" w:eastAsia="黑体"/>
          <w:bCs/>
          <w:kern w:val="0"/>
          <w:sz w:val="28"/>
          <w:szCs w:val="28"/>
        </w:rPr>
      </w:pPr>
      <w:r>
        <w:rPr>
          <w:rFonts w:hint="eastAsia" w:ascii="黑体" w:hAnsi="黑体" w:eastAsia="黑体"/>
          <w:bCs/>
          <w:kern w:val="0"/>
          <w:sz w:val="28"/>
          <w:szCs w:val="28"/>
        </w:rPr>
        <w:t>争议解决</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双方因履行本合同发生争议的，可协商解决，无法协商解决的：</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□A.应向深圳国际仲裁院（深圳仲裁委员会）提请仲裁，仲裁适用仲裁时生效的规则，仲裁地为深圳。</w:t>
      </w:r>
    </w:p>
    <w:p>
      <w:pPr>
        <w:widowControl/>
        <w:spacing w:line="360" w:lineRule="auto"/>
        <w:ind w:firstLine="560" w:firstLineChars="200"/>
        <w:jc w:val="left"/>
        <w:rPr>
          <w:rFonts w:ascii="仿宋" w:hAnsi="仿宋" w:eastAsia="仿宋"/>
          <w:kern w:val="0"/>
          <w:sz w:val="28"/>
          <w:szCs w:val="28"/>
        </w:rPr>
      </w:pPr>
      <w:r>
        <w:rPr>
          <w:rFonts w:ascii="Wingdings 2" w:hAnsi="Wingdings 2" w:eastAsia="仿宋"/>
          <w:kern w:val="0"/>
          <w:sz w:val="28"/>
          <w:szCs w:val="28"/>
        </w:rPr>
        <w:sym w:font="Wingdings 2" w:char="F0A3"/>
      </w:r>
      <w:r>
        <w:rPr>
          <w:rFonts w:hint="eastAsia" w:ascii="仿宋" w:hAnsi="仿宋" w:eastAsia="仿宋"/>
          <w:kern w:val="0"/>
          <w:sz w:val="28"/>
          <w:szCs w:val="28"/>
        </w:rPr>
        <w:t>B.应向甲方住所地有管辖权的人民法院提起诉讼。</w:t>
      </w:r>
    </w:p>
    <w:p>
      <w:pPr>
        <w:widowControl/>
        <w:numPr>
          <w:ilvl w:val="0"/>
          <w:numId w:val="11"/>
        </w:numPr>
        <w:spacing w:line="360" w:lineRule="auto"/>
        <w:ind w:left="0" w:firstLine="560" w:firstLineChars="200"/>
        <w:jc w:val="left"/>
        <w:rPr>
          <w:rFonts w:ascii="黑体" w:hAnsi="黑体" w:eastAsia="黑体"/>
          <w:bCs/>
          <w:kern w:val="0"/>
          <w:sz w:val="28"/>
          <w:szCs w:val="28"/>
        </w:rPr>
      </w:pPr>
      <w:r>
        <w:rPr>
          <w:rFonts w:hint="eastAsia" w:ascii="黑体" w:hAnsi="黑体" w:eastAsia="黑体"/>
          <w:bCs/>
          <w:kern w:val="0"/>
          <w:sz w:val="28"/>
          <w:szCs w:val="28"/>
        </w:rPr>
        <w:t>附则</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 xml:space="preserve">1．本合同□A.无附件     </w:t>
      </w:r>
      <w:r>
        <w:rPr>
          <w:rFonts w:ascii="Wingdings 2" w:hAnsi="Wingdings 2" w:eastAsia="仿宋"/>
          <w:kern w:val="0"/>
          <w:sz w:val="28"/>
          <w:szCs w:val="28"/>
        </w:rPr>
        <w:sym w:font="Wingdings 2" w:char="F0A3"/>
      </w:r>
      <w:r>
        <w:rPr>
          <w:rFonts w:hint="eastAsia" w:ascii="仿宋" w:hAnsi="仿宋" w:eastAsia="仿宋"/>
          <w:kern w:val="0"/>
          <w:sz w:val="28"/>
          <w:szCs w:val="28"/>
        </w:rPr>
        <w:t>B.有附件</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cs="仿宋"/>
          <w:kern w:val="0"/>
          <w:sz w:val="28"/>
          <w:szCs w:val="28"/>
        </w:rPr>
        <w:t>本合同约定有附件的，包括下列，附件作</w:t>
      </w:r>
      <w:r>
        <w:rPr>
          <w:rFonts w:hint="eastAsia" w:ascii="仿宋" w:hAnsi="仿宋" w:eastAsia="仿宋"/>
          <w:kern w:val="0"/>
          <w:sz w:val="28"/>
          <w:szCs w:val="28"/>
        </w:rPr>
        <w:t>为本合同的组成部分，并构成一个整体，需综合解释、相互补充。如果下列文件内容出现不一致的情形，那么在保证按照采购文件确定的事项的前提下，组成本合同的多个文件的优先适用顺序如下：</w:t>
      </w:r>
    </w:p>
    <w:p>
      <w:pPr>
        <w:widowControl/>
        <w:spacing w:line="360" w:lineRule="auto"/>
        <w:ind w:left="105" w:leftChars="50" w:firstLine="560" w:firstLineChars="200"/>
        <w:jc w:val="left"/>
        <w:rPr>
          <w:rFonts w:ascii="仿宋" w:hAnsi="仿宋" w:eastAsia="仿宋"/>
          <w:kern w:val="0"/>
          <w:sz w:val="28"/>
          <w:szCs w:val="28"/>
        </w:rPr>
      </w:pPr>
      <w:r>
        <w:rPr>
          <w:rFonts w:hint="eastAsia" w:ascii="仿宋" w:hAnsi="仿宋" w:eastAsia="仿宋"/>
          <w:kern w:val="0"/>
          <w:sz w:val="28"/>
          <w:szCs w:val="28"/>
        </w:rPr>
        <w:t>（1）本合同及其补充合同、变更协议；</w:t>
      </w:r>
    </w:p>
    <w:p>
      <w:pPr>
        <w:widowControl/>
        <w:spacing w:line="360" w:lineRule="auto"/>
        <w:ind w:left="105" w:leftChars="50" w:firstLine="560" w:firstLineChars="200"/>
        <w:jc w:val="left"/>
        <w:rPr>
          <w:rFonts w:ascii="仿宋" w:hAnsi="仿宋" w:eastAsia="仿宋"/>
          <w:kern w:val="0"/>
          <w:sz w:val="28"/>
          <w:szCs w:val="28"/>
        </w:rPr>
      </w:pPr>
      <w:r>
        <w:rPr>
          <w:rFonts w:hint="eastAsia" w:ascii="仿宋" w:hAnsi="仿宋" w:eastAsia="仿宋"/>
          <w:kern w:val="0"/>
          <w:sz w:val="28"/>
          <w:szCs w:val="28"/>
        </w:rPr>
        <w:t>（2）中标通知书；</w:t>
      </w:r>
    </w:p>
    <w:p>
      <w:pPr>
        <w:widowControl/>
        <w:spacing w:line="360" w:lineRule="auto"/>
        <w:ind w:left="105" w:leftChars="50" w:firstLine="560" w:firstLineChars="200"/>
        <w:jc w:val="left"/>
        <w:rPr>
          <w:rFonts w:ascii="仿宋" w:hAnsi="仿宋" w:eastAsia="仿宋"/>
          <w:kern w:val="0"/>
          <w:sz w:val="28"/>
          <w:szCs w:val="28"/>
        </w:rPr>
      </w:pPr>
      <w:r>
        <w:rPr>
          <w:rFonts w:hint="eastAsia" w:ascii="仿宋" w:hAnsi="仿宋" w:eastAsia="仿宋"/>
          <w:kern w:val="0"/>
          <w:sz w:val="28"/>
          <w:szCs w:val="28"/>
        </w:rPr>
        <w:t>（3）投标文件（含澄清或者说明文件）；</w:t>
      </w:r>
    </w:p>
    <w:p>
      <w:pPr>
        <w:widowControl/>
        <w:spacing w:line="360" w:lineRule="auto"/>
        <w:ind w:left="105" w:leftChars="50" w:firstLine="560" w:firstLineChars="200"/>
        <w:jc w:val="left"/>
        <w:rPr>
          <w:rFonts w:ascii="仿宋" w:hAnsi="仿宋" w:eastAsia="仿宋"/>
          <w:kern w:val="0"/>
          <w:sz w:val="28"/>
          <w:szCs w:val="28"/>
        </w:rPr>
      </w:pPr>
      <w:r>
        <w:rPr>
          <w:rFonts w:hint="eastAsia" w:ascii="仿宋" w:hAnsi="仿宋" w:eastAsia="仿宋"/>
          <w:kern w:val="0"/>
          <w:sz w:val="28"/>
          <w:szCs w:val="28"/>
        </w:rPr>
        <w:t>（4）磋商文件（含澄清或者修改文件）；</w:t>
      </w:r>
    </w:p>
    <w:p>
      <w:pPr>
        <w:widowControl/>
        <w:spacing w:line="360" w:lineRule="auto"/>
        <w:ind w:firstLine="708" w:firstLineChars="253"/>
        <w:jc w:val="left"/>
        <w:rPr>
          <w:rFonts w:ascii="仿宋" w:hAnsi="仿宋" w:eastAsia="仿宋"/>
          <w:kern w:val="0"/>
          <w:sz w:val="28"/>
          <w:szCs w:val="28"/>
        </w:rPr>
      </w:pPr>
      <w:r>
        <w:rPr>
          <w:rFonts w:hint="eastAsia" w:ascii="仿宋" w:hAnsi="仿宋" w:eastAsia="仿宋"/>
          <w:kern w:val="0"/>
          <w:sz w:val="28"/>
          <w:szCs w:val="28"/>
        </w:rPr>
        <w:t>（5）其他文件（如项目实施方案、安全责任书等）。</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2．对本合同的变更必须通过书面形式进行。</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3．本合同自双方法定代表人或授权代表签字并加盖公章后生效。</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4．本合同一式份，甲方执份，乙方执份，具有同等法律效力。</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（以下无正文，为盖章页）</w:t>
      </w:r>
    </w:p>
    <w:p>
      <w:pPr>
        <w:widowControl/>
        <w:jc w:val="left"/>
        <w:rPr>
          <w:rFonts w:ascii="仿宋" w:hAnsi="仿宋" w:eastAsia="仿宋"/>
          <w:kern w:val="0"/>
          <w:sz w:val="28"/>
          <w:szCs w:val="28"/>
        </w:rPr>
      </w:pPr>
    </w:p>
    <w:p>
      <w:pPr>
        <w:widowControl/>
        <w:spacing w:line="360" w:lineRule="auto"/>
        <w:ind w:firstLine="560" w:firstLineChars="200"/>
        <w:jc w:val="left"/>
        <w:rPr>
          <w:rFonts w:ascii="仿宋" w:hAnsi="仿宋" w:eastAsia="仿宋"/>
          <w:kern w:val="0"/>
          <w:sz w:val="28"/>
          <w:szCs w:val="28"/>
        </w:rPr>
      </w:pPr>
      <w:r>
        <w:rPr>
          <w:rFonts w:ascii="仿宋" w:hAnsi="仿宋" w:eastAsia="仿宋"/>
          <w:kern w:val="0"/>
          <w:sz w:val="28"/>
          <w:szCs w:val="28"/>
        </w:rPr>
        <w:br w:type="page"/>
      </w:r>
      <w:r>
        <w:rPr>
          <w:rFonts w:hint="eastAsia" w:ascii="仿宋" w:hAnsi="仿宋" w:eastAsia="仿宋"/>
          <w:kern w:val="0"/>
          <w:sz w:val="28"/>
          <w:szCs w:val="28"/>
        </w:rPr>
        <w:t>（本页为盖章页）</w:t>
      </w:r>
    </w:p>
    <w:p>
      <w:pPr>
        <w:widowControl/>
        <w:spacing w:line="360" w:lineRule="auto"/>
        <w:ind w:firstLine="560" w:firstLineChars="200"/>
        <w:jc w:val="left"/>
        <w:rPr>
          <w:rFonts w:ascii="黑体" w:hAnsi="黑体" w:eastAsia="黑体"/>
          <w:kern w:val="0"/>
          <w:sz w:val="28"/>
          <w:szCs w:val="28"/>
        </w:rPr>
      </w:pPr>
      <w:r>
        <w:rPr>
          <w:rFonts w:hint="eastAsia" w:ascii="黑体" w:hAnsi="黑体" w:eastAsia="黑体"/>
          <w:kern w:val="0"/>
          <w:sz w:val="28"/>
          <w:szCs w:val="28"/>
        </w:rPr>
        <w:t xml:space="preserve">甲方（盖章）： </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法定代表人或授权代表签字：</w:t>
      </w:r>
    </w:p>
    <w:p>
      <w:pPr>
        <w:widowControl/>
        <w:ind w:firstLine="560" w:firstLineChars="200"/>
        <w:jc w:val="left"/>
        <w:rPr>
          <w:rFonts w:ascii="仿宋_GB2312" w:eastAsia="仿宋_GB2312"/>
          <w:kern w:val="0"/>
          <w:sz w:val="32"/>
          <w:szCs w:val="32"/>
        </w:rPr>
      </w:pPr>
      <w:r>
        <w:rPr>
          <w:rFonts w:hint="eastAsia" w:ascii="仿宋" w:hAnsi="仿宋" w:eastAsia="仿宋"/>
          <w:kern w:val="0"/>
          <w:sz w:val="28"/>
          <w:szCs w:val="28"/>
        </w:rPr>
        <w:t>签署日期：    年   月   日</w:t>
      </w:r>
    </w:p>
    <w:p>
      <w:pPr>
        <w:widowControl/>
        <w:spacing w:line="360" w:lineRule="auto"/>
        <w:ind w:firstLine="560" w:firstLineChars="200"/>
        <w:jc w:val="left"/>
        <w:rPr>
          <w:rFonts w:ascii="仿宋" w:hAnsi="仿宋" w:eastAsia="仿宋"/>
          <w:kern w:val="0"/>
          <w:sz w:val="28"/>
          <w:szCs w:val="28"/>
        </w:rPr>
      </w:pPr>
    </w:p>
    <w:p>
      <w:pPr>
        <w:widowControl/>
        <w:spacing w:line="360" w:lineRule="auto"/>
        <w:ind w:firstLine="560" w:firstLineChars="200"/>
        <w:jc w:val="left"/>
        <w:rPr>
          <w:rFonts w:ascii="黑体" w:hAnsi="黑体" w:eastAsia="黑体"/>
          <w:kern w:val="0"/>
          <w:sz w:val="28"/>
          <w:szCs w:val="28"/>
        </w:rPr>
      </w:pPr>
      <w:r>
        <w:rPr>
          <w:rFonts w:hint="eastAsia" w:ascii="黑体" w:hAnsi="黑体" w:eastAsia="黑体"/>
          <w:kern w:val="0"/>
          <w:sz w:val="28"/>
          <w:szCs w:val="28"/>
        </w:rPr>
        <w:t>乙方（盖章）：</w:t>
      </w:r>
    </w:p>
    <w:p>
      <w:pPr>
        <w:widowControl/>
        <w:spacing w:line="360" w:lineRule="auto"/>
        <w:ind w:firstLine="560" w:firstLineChars="200"/>
        <w:jc w:val="left"/>
        <w:rPr>
          <w:rFonts w:ascii="仿宋" w:hAnsi="仿宋" w:eastAsia="仿宋"/>
          <w:kern w:val="0"/>
          <w:sz w:val="28"/>
          <w:szCs w:val="28"/>
        </w:rPr>
      </w:pPr>
      <w:r>
        <w:rPr>
          <w:rFonts w:hint="eastAsia" w:ascii="仿宋" w:hAnsi="仿宋" w:eastAsia="仿宋"/>
          <w:kern w:val="0"/>
          <w:sz w:val="28"/>
          <w:szCs w:val="28"/>
        </w:rPr>
        <w:t>法定代表人或授权代表签字：</w:t>
      </w:r>
    </w:p>
    <w:p>
      <w:pPr>
        <w:widowControl/>
        <w:ind w:firstLine="560" w:firstLineChars="200"/>
        <w:jc w:val="left"/>
        <w:rPr>
          <w:kern w:val="0"/>
          <w:sz w:val="24"/>
        </w:rPr>
      </w:pPr>
      <w:r>
        <w:rPr>
          <w:rFonts w:hint="eastAsia" w:ascii="仿宋" w:hAnsi="仿宋" w:eastAsia="仿宋"/>
          <w:kern w:val="0"/>
          <w:sz w:val="28"/>
          <w:szCs w:val="28"/>
        </w:rPr>
        <w:t>签署日期：    年   月   日</w:t>
      </w:r>
    </w:p>
    <w:p>
      <w:pPr>
        <w:ind w:firstLine="420" w:firstLineChars="200"/>
        <w:rPr>
          <w:rFonts w:ascii="宋体" w:hAnsi="宋体"/>
          <w:szCs w:val="21"/>
        </w:rPr>
      </w:pPr>
    </w:p>
    <w:p>
      <w:pPr>
        <w:jc w:val="center"/>
        <w:rPr>
          <w:rFonts w:hint="eastAsia" w:ascii="宋体" w:hAnsi="宋体"/>
          <w:szCs w:val="21"/>
        </w:rPr>
      </w:pPr>
      <w:r>
        <w:rPr>
          <w:rFonts w:ascii="宋体" w:hAnsi="宋体"/>
          <w:szCs w:val="21"/>
        </w:rPr>
        <w:br w:type="page"/>
      </w:r>
      <w:r>
        <w:rPr>
          <w:rFonts w:hint="eastAsia"/>
          <w:b/>
          <w:sz w:val="24"/>
        </w:rPr>
        <w:t>政府采购履约情况反馈表（履约评价表）</w:t>
      </w:r>
    </w:p>
    <w:p>
      <w:pPr>
        <w:ind w:firstLine="420" w:firstLineChars="200"/>
        <w:rPr>
          <w:rFonts w:hint="eastAsia" w:ascii="宋体" w:hAnsi="宋体"/>
          <w:szCs w:val="21"/>
        </w:rPr>
      </w:pP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26"/>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noWrap w:val="0"/>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noWrap w:val="0"/>
            <w:vAlign w:val="center"/>
          </w:tcPr>
          <w:p>
            <w:pPr>
              <w:spacing w:line="240" w:lineRule="atLeast"/>
              <w:jc w:val="center"/>
              <w:rPr>
                <w:rFonts w:ascii="宋体" w:hAnsi="宋体"/>
                <w:szCs w:val="21"/>
              </w:rPr>
            </w:pPr>
          </w:p>
        </w:tc>
        <w:tc>
          <w:tcPr>
            <w:tcW w:w="1980" w:type="dxa"/>
            <w:noWrap w:val="0"/>
            <w:vAlign w:val="center"/>
          </w:tcPr>
          <w:p>
            <w:pPr>
              <w:spacing w:line="240" w:lineRule="atLeast"/>
              <w:jc w:val="center"/>
              <w:rPr>
                <w:rFonts w:ascii="宋体" w:hAnsi="宋体"/>
                <w:szCs w:val="21"/>
              </w:rPr>
            </w:pPr>
            <w:r>
              <w:rPr>
                <w:rFonts w:hint="eastAsia" w:ascii="宋体" w:hAnsi="宋体"/>
                <w:szCs w:val="21"/>
              </w:rPr>
              <w:t>项目编号</w:t>
            </w:r>
          </w:p>
        </w:tc>
        <w:tc>
          <w:tcPr>
            <w:tcW w:w="2135" w:type="dxa"/>
            <w:noWrap w:val="0"/>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noWrap w:val="0"/>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noWrap w:val="0"/>
            <w:vAlign w:val="center"/>
          </w:tcPr>
          <w:p>
            <w:pPr>
              <w:spacing w:line="240" w:lineRule="atLeast"/>
              <w:jc w:val="center"/>
              <w:rPr>
                <w:rFonts w:ascii="宋体" w:hAnsi="宋体"/>
                <w:szCs w:val="21"/>
              </w:rPr>
            </w:pPr>
          </w:p>
        </w:tc>
        <w:tc>
          <w:tcPr>
            <w:tcW w:w="1980" w:type="dxa"/>
            <w:noWrap w:val="0"/>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noWrap w:val="0"/>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noWrap w:val="0"/>
            <w:vAlign w:val="center"/>
          </w:tcPr>
          <w:p>
            <w:pPr>
              <w:spacing w:line="240" w:lineRule="atLeast"/>
              <w:jc w:val="center"/>
              <w:rPr>
                <w:rFonts w:ascii="宋体" w:hAnsi="宋体"/>
                <w:szCs w:val="21"/>
              </w:rPr>
            </w:pPr>
            <w:r>
              <w:rPr>
                <w:rFonts w:hint="eastAsia" w:ascii="宋体" w:hAnsi="宋体"/>
                <w:szCs w:val="21"/>
              </w:rPr>
              <w:t>中标金额</w:t>
            </w:r>
          </w:p>
        </w:tc>
        <w:tc>
          <w:tcPr>
            <w:tcW w:w="2520" w:type="dxa"/>
            <w:noWrap w:val="0"/>
            <w:vAlign w:val="center"/>
          </w:tcPr>
          <w:p>
            <w:pPr>
              <w:spacing w:line="240" w:lineRule="atLeast"/>
              <w:jc w:val="center"/>
              <w:rPr>
                <w:rFonts w:ascii="宋体" w:hAnsi="宋体"/>
                <w:szCs w:val="21"/>
              </w:rPr>
            </w:pPr>
          </w:p>
        </w:tc>
        <w:tc>
          <w:tcPr>
            <w:tcW w:w="1980" w:type="dxa"/>
            <w:noWrap w:val="0"/>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noWrap w:val="0"/>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noWrap w:val="0"/>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noWrap w:val="0"/>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ascii="宋体" w:hAnsi="宋体"/>
                <w:szCs w:val="21"/>
              </w:rPr>
            </w:pPr>
          </w:p>
        </w:tc>
        <w:tc>
          <w:tcPr>
            <w:tcW w:w="720" w:type="dxa"/>
            <w:vMerge w:val="restart"/>
            <w:tcBorders>
              <w:righ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szCs w:val="21"/>
              </w:rPr>
            </w:pPr>
            <w:r>
              <w:rPr>
                <w:rFonts w:hint="eastAsia" w:ascii="宋体" w:hAnsi="宋体"/>
                <w:szCs w:val="21"/>
              </w:rPr>
              <w:t>服务</w:t>
            </w:r>
          </w:p>
          <w:p>
            <w:pPr>
              <w:spacing w:line="240" w:lineRule="atLeast"/>
              <w:jc w:val="center"/>
              <w:rPr>
                <w:rFonts w:ascii="宋体" w:hAnsi="宋体"/>
                <w:szCs w:val="21"/>
              </w:rPr>
            </w:pPr>
            <w:r>
              <w:rPr>
                <w:rFonts w:hint="eastAsia" w:ascii="宋体" w:hAnsi="宋体"/>
                <w:szCs w:val="21"/>
              </w:rPr>
              <w:t>方面</w:t>
            </w:r>
          </w:p>
        </w:tc>
        <w:tc>
          <w:tcPr>
            <w:tcW w:w="6635" w:type="dxa"/>
            <w:gridSpan w:val="3"/>
            <w:tcBorders>
              <w:lef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noWrap w:val="0"/>
            <w:vAlign w:val="center"/>
          </w:tcPr>
          <w:p>
            <w:pPr>
              <w:spacing w:line="240" w:lineRule="atLeast"/>
              <w:jc w:val="center"/>
              <w:rPr>
                <w:rFonts w:ascii="宋体" w:hAnsi="宋体"/>
                <w:szCs w:val="21"/>
              </w:rPr>
            </w:pPr>
          </w:p>
        </w:tc>
        <w:tc>
          <w:tcPr>
            <w:tcW w:w="720" w:type="dxa"/>
            <w:vMerge w:val="continue"/>
            <w:tcBorders>
              <w:right w:val="single" w:color="auto" w:sz="4" w:space="0"/>
            </w:tcBorders>
            <w:noWrap w:val="0"/>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noWrap w:val="0"/>
            <w:vAlign w:val="center"/>
          </w:tcPr>
          <w:p>
            <w:pPr>
              <w:spacing w:before="156" w:beforeLines="50" w:after="156"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56" w:beforeLines="50" w:after="156"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86" w:hRule="atLeast"/>
          <w:jc w:val="center"/>
        </w:trPr>
        <w:tc>
          <w:tcPr>
            <w:tcW w:w="1562" w:type="dxa"/>
            <w:gridSpan w:val="2"/>
            <w:noWrap w:val="0"/>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noWrap w:val="0"/>
            <w:vAlign w:val="top"/>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52" w:hRule="atLeast"/>
          <w:jc w:val="center"/>
        </w:trPr>
        <w:tc>
          <w:tcPr>
            <w:tcW w:w="1562" w:type="dxa"/>
            <w:gridSpan w:val="2"/>
            <w:noWrap w:val="0"/>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noWrap w:val="0"/>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jc w:val="left"/>
              <w:rPr>
                <w:rFonts w:ascii="宋体" w:hAnsi="宋体"/>
                <w:szCs w:val="21"/>
              </w:rPr>
            </w:pP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1、本表为采购人向深圳市政府采购中心反映政府采购项目履约情况时所用；</w:t>
      </w:r>
    </w:p>
    <w:p>
      <w:pPr>
        <w:spacing w:line="240" w:lineRule="atLeast"/>
        <w:jc w:val="left"/>
        <w:rPr>
          <w:rFonts w:hint="eastAsia"/>
        </w:rPr>
      </w:pPr>
      <w:r>
        <w:rPr>
          <w:rFonts w:hint="eastAsia" w:ascii="宋体" w:hAnsi="宋体"/>
          <w:szCs w:val="21"/>
        </w:rPr>
        <w:t>2、履约情况评价分为优、良、中、差四个等级，请在对应的框前打“√”，然后在“具体情况说明”一栏详细说明有关情况。</w:t>
      </w:r>
    </w:p>
    <w:sectPr>
      <w:headerReference r:id="rId6" w:type="first"/>
      <w:footerReference r:id="rId7" w:type="first"/>
      <w:type w:val="continuous"/>
      <w:pgSz w:w="11906" w:h="16838"/>
      <w:pgMar w:top="1440" w:right="1701" w:bottom="1440" w:left="1701"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Arial Narrow">
    <w:altName w:val="Arial"/>
    <w:panose1 w:val="020B0606020202030204"/>
    <w:charset w:val="00"/>
    <w:family w:val="swiss"/>
    <w:pitch w:val="default"/>
    <w:sig w:usb0="00000287" w:usb1="00000800" w:usb2="00000000" w:usb3="00000000" w:csb0="0000009F" w:csb1="00000000"/>
  </w:font>
  <w:font w:name="Verdana">
    <w:panose1 w:val="020B0604030504040204"/>
    <w:charset w:val="00"/>
    <w:family w:val="swiss"/>
    <w:pitch w:val="default"/>
    <w:sig w:usb0="A10006FF" w:usb1="4000205B" w:usb2="00000010" w:usb3="00000000" w:csb0="2000019F" w:csb1="00000000"/>
  </w:font>
  <w:font w:name="华文新魏">
    <w:altName w:val="宋体"/>
    <w:panose1 w:val="02010800040101010101"/>
    <w:charset w:val="86"/>
    <w:family w:val="auto"/>
    <w:pitch w:val="default"/>
    <w:sig w:usb0="00000001" w:usb1="080F0000" w:usb2="00000010" w:usb3="00000000" w:csb0="00040000" w:csb1="00000000"/>
  </w:font>
  <w:font w:name="Garamond">
    <w:altName w:val="Yu Mincho"/>
    <w:panose1 w:val="02020404030301010803"/>
    <w:charset w:val="00"/>
    <w:family w:val="roman"/>
    <w:pitch w:val="default"/>
    <w:sig w:usb0="00000287" w:usb1="00000000" w:usb2="00000000" w:usb3="00000000" w:csb0="0000009F" w:csb1="00000000"/>
  </w:font>
  <w:font w:name="ヒラギノ角ゴ Pro W3">
    <w:altName w:val="MS Gothic"/>
    <w:panose1 w:val="00000000000000000000"/>
    <w:charset w:val="80"/>
    <w:family w:val="auto"/>
    <w:pitch w:val="default"/>
    <w:sig w:usb0="00000000" w:usb1="00000000" w:usb2="07040001" w:usb3="00000000" w:csb0="00020000" w:csb1="00000000"/>
  </w:font>
  <w:font w:name="长城仿宋">
    <w:altName w:val="宋体"/>
    <w:panose1 w:val="00000000000000000000"/>
    <w:charset w:val="86"/>
    <w:family w:val="modern"/>
    <w:pitch w:val="default"/>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等线">
    <w:altName w:val="微软雅黑"/>
    <w:panose1 w:val="02010600030101010101"/>
    <w:charset w:val="86"/>
    <w:family w:val="auto"/>
    <w:pitch w:val="default"/>
    <w:sig w:usb0="A00002BF" w:usb1="38CF7CFA" w:usb2="00000016" w:usb3="00000000" w:csb0="0004000F" w:csb1="00000000"/>
  </w:font>
  <w:font w:name="华文细黑">
    <w:altName w:val="微软雅黑"/>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Wingdings 2">
    <w:altName w:val="Wingdings"/>
    <w:panose1 w:val="05020102010507070707"/>
    <w:charset w:val="02"/>
    <w:family w:val="roman"/>
    <w:pitch w:val="default"/>
    <w:sig w:usb0="00000000" w:usb1="1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Yu Mincho">
    <w:panose1 w:val="02020400000000000000"/>
    <w:charset w:val="80"/>
    <w:family w:val="auto"/>
    <w:pitch w:val="default"/>
    <w:sig w:usb0="800002E7" w:usb1="2AC7FCF0" w:usb2="00000012" w:usb3="00000000" w:csb0="200200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62</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0"/>
      </w:rPr>
    </w:pPr>
    <w:r>
      <w:fldChar w:fldCharType="begin"/>
    </w:r>
    <w:r>
      <w:rPr>
        <w:rStyle w:val="30"/>
      </w:rPr>
      <w:instrText xml:space="preserve">P</w:instrText>
    </w:r>
    <w:r>
      <w:fldChar w:fldCharType="separate"/>
    </w:r>
    <w:r>
      <w:rPr>
        <w:rFonts w:hint="eastAsia"/>
        <w:b/>
        <w:bCs/>
      </w:rPr>
      <w:t>错误！未指定书签。</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57"/>
      <w:jc w:val="center"/>
      <w:rPr>
        <w:rStyle w:val="30"/>
        <w:rFonts w:hint="eastAsia"/>
      </w:rPr>
    </w:pPr>
    <w:r>
      <w:rPr>
        <w:rStyle w:val="30"/>
        <w:rFonts w:hint="eastAsia"/>
      </w:rPr>
      <w:t>27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t>---</w:t>
    </w:r>
    <w:r>
      <w:rPr>
        <w:rFonts w:hint="eastAsia"/>
      </w:rPr>
      <w:t>深圳市东方招标有限公司～竞争性磋商文件</w:t>
    </w:r>
    <w:r>
      <w:t>--</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japaneseCounting"/>
      <w:lvlText w:val="第%1条"/>
      <w:lvlJc w:val="left"/>
      <w:pPr>
        <w:ind w:left="885" w:hanging="88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9"/>
    <w:multiLevelType w:val="multilevel"/>
    <w:tmpl w:val="0000000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8"/>
    <w:multiLevelType w:val="multilevel"/>
    <w:tmpl w:val="00000018"/>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2C"/>
    <w:multiLevelType w:val="multilevel"/>
    <w:tmpl w:val="0000002C"/>
    <w:lvl w:ilvl="0" w:tentative="0">
      <w:start w:val="1"/>
      <w:numFmt w:val="decimalEnclosedCircle"/>
      <w:lvlText w:val="%1"/>
      <w:lvlJc w:val="left"/>
      <w:pPr>
        <w:tabs>
          <w:tab w:val="left" w:pos="1410"/>
        </w:tabs>
        <w:ind w:left="1410" w:hanging="360"/>
      </w:pPr>
      <w:rPr>
        <w:rFonts w:hint="default" w:ascii="Times New Roman" w:hAnsi="Times New Roman" w:cs="Times New Roman"/>
      </w:rPr>
    </w:lvl>
    <w:lvl w:ilvl="1" w:tentative="0">
      <w:start w:val="5"/>
      <w:numFmt w:val="decimal"/>
      <w:lvlText w:val="%2）"/>
      <w:lvlJc w:val="left"/>
      <w:pPr>
        <w:tabs>
          <w:tab w:val="left" w:pos="1080"/>
        </w:tabs>
        <w:ind w:left="1080" w:hanging="360"/>
      </w:pPr>
      <w:rPr>
        <w:rFonts w:hint="default" w:hAnsi="宋体"/>
      </w:rPr>
    </w:lvl>
    <w:lvl w:ilvl="2" w:tentative="0">
      <w:start w:val="1"/>
      <w:numFmt w:val="lowerRoman"/>
      <w:lvlText w:val="%3."/>
      <w:lvlJc w:val="right"/>
      <w:pPr>
        <w:tabs>
          <w:tab w:val="left" w:pos="2310"/>
        </w:tabs>
        <w:ind w:left="2310" w:hanging="420"/>
      </w:pPr>
    </w:lvl>
    <w:lvl w:ilvl="3" w:tentative="0">
      <w:start w:val="1"/>
      <w:numFmt w:val="decimal"/>
      <w:lvlText w:val="%4."/>
      <w:lvlJc w:val="left"/>
      <w:pPr>
        <w:tabs>
          <w:tab w:val="left" w:pos="2730"/>
        </w:tabs>
        <w:ind w:left="2730" w:hanging="420"/>
      </w:pPr>
    </w:lvl>
    <w:lvl w:ilvl="4" w:tentative="0">
      <w:start w:val="1"/>
      <w:numFmt w:val="lowerLetter"/>
      <w:lvlText w:val="%5)"/>
      <w:lvlJc w:val="left"/>
      <w:pPr>
        <w:tabs>
          <w:tab w:val="left" w:pos="3150"/>
        </w:tabs>
        <w:ind w:left="3150" w:hanging="420"/>
      </w:pPr>
    </w:lvl>
    <w:lvl w:ilvl="5" w:tentative="0">
      <w:start w:val="1"/>
      <w:numFmt w:val="lowerRoman"/>
      <w:lvlText w:val="%6."/>
      <w:lvlJc w:val="right"/>
      <w:pPr>
        <w:tabs>
          <w:tab w:val="left" w:pos="3570"/>
        </w:tabs>
        <w:ind w:left="3570" w:hanging="420"/>
      </w:pPr>
    </w:lvl>
    <w:lvl w:ilvl="6" w:tentative="0">
      <w:start w:val="1"/>
      <w:numFmt w:val="decimal"/>
      <w:lvlText w:val="%7."/>
      <w:lvlJc w:val="left"/>
      <w:pPr>
        <w:tabs>
          <w:tab w:val="left" w:pos="3990"/>
        </w:tabs>
        <w:ind w:left="3990" w:hanging="420"/>
      </w:pPr>
    </w:lvl>
    <w:lvl w:ilvl="7" w:tentative="0">
      <w:start w:val="1"/>
      <w:numFmt w:val="lowerLetter"/>
      <w:lvlText w:val="%8)"/>
      <w:lvlJc w:val="left"/>
      <w:pPr>
        <w:tabs>
          <w:tab w:val="left" w:pos="4410"/>
        </w:tabs>
        <w:ind w:left="4410" w:hanging="420"/>
      </w:pPr>
    </w:lvl>
    <w:lvl w:ilvl="8" w:tentative="0">
      <w:start w:val="1"/>
      <w:numFmt w:val="lowerRoman"/>
      <w:lvlText w:val="%9."/>
      <w:lvlJc w:val="right"/>
      <w:pPr>
        <w:tabs>
          <w:tab w:val="left" w:pos="4830"/>
        </w:tabs>
        <w:ind w:left="4830" w:hanging="420"/>
      </w:pPr>
    </w:lvl>
  </w:abstractNum>
  <w:abstractNum w:abstractNumId="4">
    <w:nsid w:val="3A9C2BF4"/>
    <w:multiLevelType w:val="multilevel"/>
    <w:tmpl w:val="3A9C2BF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B83958"/>
    <w:multiLevelType w:val="multilevel"/>
    <w:tmpl w:val="43B8395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1E4493"/>
    <w:multiLevelType w:val="multilevel"/>
    <w:tmpl w:val="581E449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4DF0BA3"/>
    <w:multiLevelType w:val="multilevel"/>
    <w:tmpl w:val="64DF0BA3"/>
    <w:lvl w:ilvl="0" w:tentative="0">
      <w:start w:val="1"/>
      <w:numFmt w:val="decimal"/>
      <w:lvlText w:val="%1）"/>
      <w:lvlJc w:val="left"/>
      <w:pPr>
        <w:ind w:left="1271" w:hanging="420"/>
      </w:pPr>
      <w:rPr>
        <w:rFonts w:hint="default" w:ascii="Times New Roman" w:hAnsi="Times New Roman" w:cs="Times New Roman"/>
        <w:b w:val="0"/>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8">
    <w:nsid w:val="66BB607F"/>
    <w:multiLevelType w:val="multilevel"/>
    <w:tmpl w:val="66BB607F"/>
    <w:lvl w:ilvl="0" w:tentative="0">
      <w:start w:val="1"/>
      <w:numFmt w:val="decimal"/>
      <w:lvlText w:val="%1）"/>
      <w:lvlJc w:val="left"/>
      <w:pPr>
        <w:ind w:left="1155" w:hanging="420"/>
      </w:pPr>
      <w:rPr>
        <w:rFonts w:hint="default" w:ascii="Times New Roman" w:hAnsi="Times New Roman" w:cs="Times New Roman"/>
      </w:r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9">
    <w:nsid w:val="6CE970D3"/>
    <w:multiLevelType w:val="multilevel"/>
    <w:tmpl w:val="6CE970D3"/>
    <w:lvl w:ilvl="0" w:tentative="0">
      <w:start w:val="1"/>
      <w:numFmt w:val="decimal"/>
      <w:lvlText w:val="%1."/>
      <w:lvlJc w:val="left"/>
      <w:pPr>
        <w:ind w:left="1100" w:hanging="420"/>
      </w:p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10">
    <w:nsid w:val="6EAD1807"/>
    <w:multiLevelType w:val="singleLevel"/>
    <w:tmpl w:val="6EAD1807"/>
    <w:lvl w:ilvl="0" w:tentative="0">
      <w:start w:val="1"/>
      <w:numFmt w:val="bullet"/>
      <w:pStyle w:val="8"/>
      <w:lvlText w:val=""/>
      <w:lvlJc w:val="left"/>
      <w:pPr>
        <w:tabs>
          <w:tab w:val="left" w:pos="360"/>
        </w:tabs>
        <w:ind w:left="360" w:hanging="360"/>
      </w:pPr>
      <w:rPr>
        <w:rFonts w:hint="default" w:ascii="Wingdings" w:hAnsi="Wingdings"/>
      </w:rPr>
    </w:lvl>
  </w:abstractNum>
  <w:num w:numId="1">
    <w:abstractNumId w:val="10"/>
  </w:num>
  <w:num w:numId="2">
    <w:abstractNumId w:val="3"/>
  </w:num>
  <w:num w:numId="3">
    <w:abstractNumId w:val="9"/>
  </w:num>
  <w:num w:numId="4">
    <w:abstractNumId w:val="5"/>
  </w:num>
  <w:num w:numId="5">
    <w:abstractNumId w:val="4"/>
  </w:num>
  <w:num w:numId="6">
    <w:abstractNumId w:val="8"/>
  </w:num>
  <w:num w:numId="7">
    <w:abstractNumId w:val="2"/>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5B"/>
    <w:rsid w:val="000005AC"/>
    <w:rsid w:val="00001A3C"/>
    <w:rsid w:val="0000238C"/>
    <w:rsid w:val="00002896"/>
    <w:rsid w:val="00003726"/>
    <w:rsid w:val="00003E5F"/>
    <w:rsid w:val="0000777D"/>
    <w:rsid w:val="00010CE3"/>
    <w:rsid w:val="00010E15"/>
    <w:rsid w:val="000120D3"/>
    <w:rsid w:val="00012875"/>
    <w:rsid w:val="000156C6"/>
    <w:rsid w:val="000156DD"/>
    <w:rsid w:val="000161D2"/>
    <w:rsid w:val="000161EA"/>
    <w:rsid w:val="0001648E"/>
    <w:rsid w:val="0001778A"/>
    <w:rsid w:val="00017DE7"/>
    <w:rsid w:val="00017EF0"/>
    <w:rsid w:val="00017F92"/>
    <w:rsid w:val="00021B5C"/>
    <w:rsid w:val="00022090"/>
    <w:rsid w:val="0002252D"/>
    <w:rsid w:val="000225E5"/>
    <w:rsid w:val="000236D0"/>
    <w:rsid w:val="00023B5E"/>
    <w:rsid w:val="000241E8"/>
    <w:rsid w:val="0002425A"/>
    <w:rsid w:val="000252E9"/>
    <w:rsid w:val="00025EB2"/>
    <w:rsid w:val="000277E3"/>
    <w:rsid w:val="00027810"/>
    <w:rsid w:val="00027F0F"/>
    <w:rsid w:val="0003017C"/>
    <w:rsid w:val="00031072"/>
    <w:rsid w:val="00032BF8"/>
    <w:rsid w:val="00032FB6"/>
    <w:rsid w:val="00033A49"/>
    <w:rsid w:val="00035627"/>
    <w:rsid w:val="00036135"/>
    <w:rsid w:val="00036B93"/>
    <w:rsid w:val="00036D52"/>
    <w:rsid w:val="00036DD6"/>
    <w:rsid w:val="00037319"/>
    <w:rsid w:val="000402DB"/>
    <w:rsid w:val="00040D08"/>
    <w:rsid w:val="00041192"/>
    <w:rsid w:val="00041563"/>
    <w:rsid w:val="00041D74"/>
    <w:rsid w:val="0004308E"/>
    <w:rsid w:val="00043EF5"/>
    <w:rsid w:val="00044D6B"/>
    <w:rsid w:val="00044F09"/>
    <w:rsid w:val="00045A19"/>
    <w:rsid w:val="000468CF"/>
    <w:rsid w:val="00046929"/>
    <w:rsid w:val="00046A39"/>
    <w:rsid w:val="00047396"/>
    <w:rsid w:val="00047B2C"/>
    <w:rsid w:val="00050B63"/>
    <w:rsid w:val="0005317B"/>
    <w:rsid w:val="000554B6"/>
    <w:rsid w:val="000569CB"/>
    <w:rsid w:val="00060752"/>
    <w:rsid w:val="00061016"/>
    <w:rsid w:val="00061A08"/>
    <w:rsid w:val="00062617"/>
    <w:rsid w:val="0006265A"/>
    <w:rsid w:val="000626CD"/>
    <w:rsid w:val="000627AE"/>
    <w:rsid w:val="0006399E"/>
    <w:rsid w:val="00063E7C"/>
    <w:rsid w:val="000652EB"/>
    <w:rsid w:val="00065813"/>
    <w:rsid w:val="00066DD0"/>
    <w:rsid w:val="00067E6B"/>
    <w:rsid w:val="000716F9"/>
    <w:rsid w:val="00071E95"/>
    <w:rsid w:val="00072A3D"/>
    <w:rsid w:val="00072D33"/>
    <w:rsid w:val="0007346C"/>
    <w:rsid w:val="00074E7B"/>
    <w:rsid w:val="00075C5D"/>
    <w:rsid w:val="00076459"/>
    <w:rsid w:val="00076A52"/>
    <w:rsid w:val="000778DA"/>
    <w:rsid w:val="00082DA0"/>
    <w:rsid w:val="00083126"/>
    <w:rsid w:val="000844BF"/>
    <w:rsid w:val="00084F9B"/>
    <w:rsid w:val="0008639A"/>
    <w:rsid w:val="000867BE"/>
    <w:rsid w:val="00087092"/>
    <w:rsid w:val="00087AE3"/>
    <w:rsid w:val="00091E8C"/>
    <w:rsid w:val="000927D5"/>
    <w:rsid w:val="00092C71"/>
    <w:rsid w:val="000932A4"/>
    <w:rsid w:val="00093D40"/>
    <w:rsid w:val="000946EE"/>
    <w:rsid w:val="000947D9"/>
    <w:rsid w:val="000948C9"/>
    <w:rsid w:val="000949FA"/>
    <w:rsid w:val="0009513D"/>
    <w:rsid w:val="00095F6F"/>
    <w:rsid w:val="000A1034"/>
    <w:rsid w:val="000A1601"/>
    <w:rsid w:val="000A3505"/>
    <w:rsid w:val="000A3A7A"/>
    <w:rsid w:val="000A5043"/>
    <w:rsid w:val="000A60CD"/>
    <w:rsid w:val="000A65A1"/>
    <w:rsid w:val="000A6655"/>
    <w:rsid w:val="000A6714"/>
    <w:rsid w:val="000A6BFA"/>
    <w:rsid w:val="000A727C"/>
    <w:rsid w:val="000A74C7"/>
    <w:rsid w:val="000A7CD9"/>
    <w:rsid w:val="000A7F48"/>
    <w:rsid w:val="000A7F61"/>
    <w:rsid w:val="000B006F"/>
    <w:rsid w:val="000B131E"/>
    <w:rsid w:val="000B1C42"/>
    <w:rsid w:val="000B4146"/>
    <w:rsid w:val="000B44A9"/>
    <w:rsid w:val="000B46A8"/>
    <w:rsid w:val="000B581B"/>
    <w:rsid w:val="000B650E"/>
    <w:rsid w:val="000B66CD"/>
    <w:rsid w:val="000B7C30"/>
    <w:rsid w:val="000C223C"/>
    <w:rsid w:val="000C2E3A"/>
    <w:rsid w:val="000C3572"/>
    <w:rsid w:val="000C4CB9"/>
    <w:rsid w:val="000C6759"/>
    <w:rsid w:val="000C6921"/>
    <w:rsid w:val="000C6CFE"/>
    <w:rsid w:val="000C7FCA"/>
    <w:rsid w:val="000D073A"/>
    <w:rsid w:val="000D0A71"/>
    <w:rsid w:val="000D0F4B"/>
    <w:rsid w:val="000D378D"/>
    <w:rsid w:val="000D4EE4"/>
    <w:rsid w:val="000D55D6"/>
    <w:rsid w:val="000D7363"/>
    <w:rsid w:val="000D7537"/>
    <w:rsid w:val="000E00BE"/>
    <w:rsid w:val="000E0985"/>
    <w:rsid w:val="000E0AAB"/>
    <w:rsid w:val="000E25F7"/>
    <w:rsid w:val="000E34DC"/>
    <w:rsid w:val="000E3A0B"/>
    <w:rsid w:val="000E3E97"/>
    <w:rsid w:val="000E46B4"/>
    <w:rsid w:val="000E6026"/>
    <w:rsid w:val="000E69BA"/>
    <w:rsid w:val="000E6D88"/>
    <w:rsid w:val="000F0B39"/>
    <w:rsid w:val="000F0CE0"/>
    <w:rsid w:val="000F3FBD"/>
    <w:rsid w:val="000F4917"/>
    <w:rsid w:val="00100530"/>
    <w:rsid w:val="00100635"/>
    <w:rsid w:val="00100D04"/>
    <w:rsid w:val="001025D3"/>
    <w:rsid w:val="00102A75"/>
    <w:rsid w:val="00102E3C"/>
    <w:rsid w:val="001030BD"/>
    <w:rsid w:val="00103471"/>
    <w:rsid w:val="00103CB5"/>
    <w:rsid w:val="00103DD3"/>
    <w:rsid w:val="00103E1A"/>
    <w:rsid w:val="00104357"/>
    <w:rsid w:val="00105C91"/>
    <w:rsid w:val="00105D2D"/>
    <w:rsid w:val="001076DC"/>
    <w:rsid w:val="001117AA"/>
    <w:rsid w:val="00112051"/>
    <w:rsid w:val="00113633"/>
    <w:rsid w:val="00114132"/>
    <w:rsid w:val="00115292"/>
    <w:rsid w:val="0011662D"/>
    <w:rsid w:val="00116A7D"/>
    <w:rsid w:val="001173D1"/>
    <w:rsid w:val="00120B1A"/>
    <w:rsid w:val="00121CA8"/>
    <w:rsid w:val="001222F8"/>
    <w:rsid w:val="0012383F"/>
    <w:rsid w:val="00123B64"/>
    <w:rsid w:val="00123F56"/>
    <w:rsid w:val="00124639"/>
    <w:rsid w:val="00124A88"/>
    <w:rsid w:val="00124CF2"/>
    <w:rsid w:val="00125BB1"/>
    <w:rsid w:val="0012629F"/>
    <w:rsid w:val="00126772"/>
    <w:rsid w:val="00126C8F"/>
    <w:rsid w:val="00126E99"/>
    <w:rsid w:val="0012723C"/>
    <w:rsid w:val="0012781F"/>
    <w:rsid w:val="00127F88"/>
    <w:rsid w:val="001301CC"/>
    <w:rsid w:val="001305CF"/>
    <w:rsid w:val="00130F52"/>
    <w:rsid w:val="001311EF"/>
    <w:rsid w:val="0013182D"/>
    <w:rsid w:val="001327C8"/>
    <w:rsid w:val="0013318A"/>
    <w:rsid w:val="00133E25"/>
    <w:rsid w:val="001344A8"/>
    <w:rsid w:val="00134527"/>
    <w:rsid w:val="0013568C"/>
    <w:rsid w:val="001360FD"/>
    <w:rsid w:val="00136DEB"/>
    <w:rsid w:val="00136DED"/>
    <w:rsid w:val="0013773E"/>
    <w:rsid w:val="00137A53"/>
    <w:rsid w:val="00141D5C"/>
    <w:rsid w:val="00141D60"/>
    <w:rsid w:val="001442B8"/>
    <w:rsid w:val="00144EBA"/>
    <w:rsid w:val="00146274"/>
    <w:rsid w:val="001474B9"/>
    <w:rsid w:val="001509A2"/>
    <w:rsid w:val="00150BB2"/>
    <w:rsid w:val="001515E2"/>
    <w:rsid w:val="00151877"/>
    <w:rsid w:val="00152138"/>
    <w:rsid w:val="00152256"/>
    <w:rsid w:val="0015232A"/>
    <w:rsid w:val="0015242C"/>
    <w:rsid w:val="0015464E"/>
    <w:rsid w:val="00155211"/>
    <w:rsid w:val="001554BF"/>
    <w:rsid w:val="00155996"/>
    <w:rsid w:val="00155DC0"/>
    <w:rsid w:val="00156020"/>
    <w:rsid w:val="00156133"/>
    <w:rsid w:val="00156E87"/>
    <w:rsid w:val="0016005B"/>
    <w:rsid w:val="00160C7E"/>
    <w:rsid w:val="00161052"/>
    <w:rsid w:val="0016114F"/>
    <w:rsid w:val="001611C3"/>
    <w:rsid w:val="00161D8C"/>
    <w:rsid w:val="00161FAB"/>
    <w:rsid w:val="00162395"/>
    <w:rsid w:val="00164DE4"/>
    <w:rsid w:val="00166FA1"/>
    <w:rsid w:val="00167D46"/>
    <w:rsid w:val="00167FEC"/>
    <w:rsid w:val="0017039E"/>
    <w:rsid w:val="00170829"/>
    <w:rsid w:val="001718AF"/>
    <w:rsid w:val="00172426"/>
    <w:rsid w:val="00172A0F"/>
    <w:rsid w:val="001731D2"/>
    <w:rsid w:val="00173DE7"/>
    <w:rsid w:val="0018013D"/>
    <w:rsid w:val="00180177"/>
    <w:rsid w:val="00184B48"/>
    <w:rsid w:val="001872AC"/>
    <w:rsid w:val="00191834"/>
    <w:rsid w:val="001918AA"/>
    <w:rsid w:val="00191E0C"/>
    <w:rsid w:val="0019323A"/>
    <w:rsid w:val="0019392A"/>
    <w:rsid w:val="001949A3"/>
    <w:rsid w:val="00195018"/>
    <w:rsid w:val="001964AB"/>
    <w:rsid w:val="001966A1"/>
    <w:rsid w:val="00197A57"/>
    <w:rsid w:val="001A0A18"/>
    <w:rsid w:val="001A0A77"/>
    <w:rsid w:val="001A136E"/>
    <w:rsid w:val="001A1510"/>
    <w:rsid w:val="001A1D9E"/>
    <w:rsid w:val="001A2030"/>
    <w:rsid w:val="001A22E5"/>
    <w:rsid w:val="001A2451"/>
    <w:rsid w:val="001A24D6"/>
    <w:rsid w:val="001A2BA5"/>
    <w:rsid w:val="001A3139"/>
    <w:rsid w:val="001A439C"/>
    <w:rsid w:val="001A4963"/>
    <w:rsid w:val="001A523F"/>
    <w:rsid w:val="001A538D"/>
    <w:rsid w:val="001A54DE"/>
    <w:rsid w:val="001A5B10"/>
    <w:rsid w:val="001A6347"/>
    <w:rsid w:val="001A76AC"/>
    <w:rsid w:val="001A76FD"/>
    <w:rsid w:val="001B105D"/>
    <w:rsid w:val="001B1B5B"/>
    <w:rsid w:val="001B260C"/>
    <w:rsid w:val="001B2991"/>
    <w:rsid w:val="001B2AC3"/>
    <w:rsid w:val="001B45AE"/>
    <w:rsid w:val="001B4943"/>
    <w:rsid w:val="001B4EBD"/>
    <w:rsid w:val="001B5BEA"/>
    <w:rsid w:val="001B6373"/>
    <w:rsid w:val="001B735B"/>
    <w:rsid w:val="001B7BB8"/>
    <w:rsid w:val="001C0CBA"/>
    <w:rsid w:val="001C18BA"/>
    <w:rsid w:val="001C38C5"/>
    <w:rsid w:val="001C4F64"/>
    <w:rsid w:val="001C5A48"/>
    <w:rsid w:val="001C6355"/>
    <w:rsid w:val="001C704C"/>
    <w:rsid w:val="001C7080"/>
    <w:rsid w:val="001C72F3"/>
    <w:rsid w:val="001D1032"/>
    <w:rsid w:val="001D2294"/>
    <w:rsid w:val="001D3086"/>
    <w:rsid w:val="001D33CB"/>
    <w:rsid w:val="001D3E11"/>
    <w:rsid w:val="001D4EE1"/>
    <w:rsid w:val="001D6E3C"/>
    <w:rsid w:val="001D7039"/>
    <w:rsid w:val="001D71A8"/>
    <w:rsid w:val="001D7499"/>
    <w:rsid w:val="001E20C5"/>
    <w:rsid w:val="001E292F"/>
    <w:rsid w:val="001E309C"/>
    <w:rsid w:val="001E31AF"/>
    <w:rsid w:val="001E36DE"/>
    <w:rsid w:val="001E3B9F"/>
    <w:rsid w:val="001E5C9A"/>
    <w:rsid w:val="001E6ACE"/>
    <w:rsid w:val="001E76C5"/>
    <w:rsid w:val="001F1203"/>
    <w:rsid w:val="001F21AC"/>
    <w:rsid w:val="001F277D"/>
    <w:rsid w:val="001F3D4D"/>
    <w:rsid w:val="001F58FD"/>
    <w:rsid w:val="001F5E3C"/>
    <w:rsid w:val="001F6074"/>
    <w:rsid w:val="001F68C1"/>
    <w:rsid w:val="001F719D"/>
    <w:rsid w:val="00200A30"/>
    <w:rsid w:val="00200AFF"/>
    <w:rsid w:val="00201528"/>
    <w:rsid w:val="00201A4B"/>
    <w:rsid w:val="00201D45"/>
    <w:rsid w:val="0020209A"/>
    <w:rsid w:val="002030E9"/>
    <w:rsid w:val="00203DCC"/>
    <w:rsid w:val="00204128"/>
    <w:rsid w:val="00204782"/>
    <w:rsid w:val="002054CB"/>
    <w:rsid w:val="00205872"/>
    <w:rsid w:val="00205921"/>
    <w:rsid w:val="00205F46"/>
    <w:rsid w:val="002064DE"/>
    <w:rsid w:val="00207170"/>
    <w:rsid w:val="00207BA9"/>
    <w:rsid w:val="00207D8C"/>
    <w:rsid w:val="0021011B"/>
    <w:rsid w:val="002103F8"/>
    <w:rsid w:val="00211165"/>
    <w:rsid w:val="00212D4F"/>
    <w:rsid w:val="00212DD6"/>
    <w:rsid w:val="00215B2A"/>
    <w:rsid w:val="00215EC6"/>
    <w:rsid w:val="002164E0"/>
    <w:rsid w:val="00216D46"/>
    <w:rsid w:val="00217392"/>
    <w:rsid w:val="00217E9E"/>
    <w:rsid w:val="002209F7"/>
    <w:rsid w:val="00220EA7"/>
    <w:rsid w:val="00221A20"/>
    <w:rsid w:val="002226C2"/>
    <w:rsid w:val="00223053"/>
    <w:rsid w:val="0022329F"/>
    <w:rsid w:val="00223B39"/>
    <w:rsid w:val="00224232"/>
    <w:rsid w:val="00224472"/>
    <w:rsid w:val="0022492B"/>
    <w:rsid w:val="00225DDE"/>
    <w:rsid w:val="0022622F"/>
    <w:rsid w:val="0022675B"/>
    <w:rsid w:val="0022701E"/>
    <w:rsid w:val="002273C6"/>
    <w:rsid w:val="00227452"/>
    <w:rsid w:val="00227507"/>
    <w:rsid w:val="00227621"/>
    <w:rsid w:val="002308CF"/>
    <w:rsid w:val="00231711"/>
    <w:rsid w:val="00231CEC"/>
    <w:rsid w:val="00231E90"/>
    <w:rsid w:val="002326BD"/>
    <w:rsid w:val="002335AB"/>
    <w:rsid w:val="00233682"/>
    <w:rsid w:val="00233EF7"/>
    <w:rsid w:val="00233F6E"/>
    <w:rsid w:val="00234679"/>
    <w:rsid w:val="00235444"/>
    <w:rsid w:val="0023641F"/>
    <w:rsid w:val="002366B3"/>
    <w:rsid w:val="00236BC3"/>
    <w:rsid w:val="00237979"/>
    <w:rsid w:val="00240393"/>
    <w:rsid w:val="00240C2C"/>
    <w:rsid w:val="00241422"/>
    <w:rsid w:val="002418C3"/>
    <w:rsid w:val="0024238A"/>
    <w:rsid w:val="00242E24"/>
    <w:rsid w:val="00243290"/>
    <w:rsid w:val="00243311"/>
    <w:rsid w:val="0024348B"/>
    <w:rsid w:val="00243C9A"/>
    <w:rsid w:val="002445EE"/>
    <w:rsid w:val="0024545A"/>
    <w:rsid w:val="00245D0B"/>
    <w:rsid w:val="0024731D"/>
    <w:rsid w:val="0024740E"/>
    <w:rsid w:val="00247B70"/>
    <w:rsid w:val="00247D05"/>
    <w:rsid w:val="002502F0"/>
    <w:rsid w:val="002507D5"/>
    <w:rsid w:val="002511DC"/>
    <w:rsid w:val="002513FE"/>
    <w:rsid w:val="00253AA0"/>
    <w:rsid w:val="0025438D"/>
    <w:rsid w:val="00254DD2"/>
    <w:rsid w:val="00254F3D"/>
    <w:rsid w:val="002578CE"/>
    <w:rsid w:val="0026130C"/>
    <w:rsid w:val="00261B10"/>
    <w:rsid w:val="00262AFB"/>
    <w:rsid w:val="002633FF"/>
    <w:rsid w:val="00263614"/>
    <w:rsid w:val="0026553E"/>
    <w:rsid w:val="00265CA9"/>
    <w:rsid w:val="00265DC0"/>
    <w:rsid w:val="002672FE"/>
    <w:rsid w:val="002675BA"/>
    <w:rsid w:val="00270906"/>
    <w:rsid w:val="00270C57"/>
    <w:rsid w:val="002712A3"/>
    <w:rsid w:val="00271927"/>
    <w:rsid w:val="00271EA1"/>
    <w:rsid w:val="002725BE"/>
    <w:rsid w:val="00272BB4"/>
    <w:rsid w:val="00272D54"/>
    <w:rsid w:val="00277E26"/>
    <w:rsid w:val="00277F74"/>
    <w:rsid w:val="00280174"/>
    <w:rsid w:val="00280D07"/>
    <w:rsid w:val="002813F0"/>
    <w:rsid w:val="00281914"/>
    <w:rsid w:val="0028241E"/>
    <w:rsid w:val="00282D38"/>
    <w:rsid w:val="0028341A"/>
    <w:rsid w:val="0028354E"/>
    <w:rsid w:val="00283A0F"/>
    <w:rsid w:val="00286543"/>
    <w:rsid w:val="0028683C"/>
    <w:rsid w:val="00286E9D"/>
    <w:rsid w:val="002871F1"/>
    <w:rsid w:val="00287477"/>
    <w:rsid w:val="00290A8A"/>
    <w:rsid w:val="00291A95"/>
    <w:rsid w:val="00292414"/>
    <w:rsid w:val="002924AE"/>
    <w:rsid w:val="00293543"/>
    <w:rsid w:val="002939A2"/>
    <w:rsid w:val="00293F8A"/>
    <w:rsid w:val="00294474"/>
    <w:rsid w:val="002958EC"/>
    <w:rsid w:val="00295C86"/>
    <w:rsid w:val="002970FF"/>
    <w:rsid w:val="002A31FB"/>
    <w:rsid w:val="002A33BB"/>
    <w:rsid w:val="002A37F7"/>
    <w:rsid w:val="002A3AA0"/>
    <w:rsid w:val="002A5D33"/>
    <w:rsid w:val="002A7525"/>
    <w:rsid w:val="002B0210"/>
    <w:rsid w:val="002B0789"/>
    <w:rsid w:val="002B155D"/>
    <w:rsid w:val="002B221C"/>
    <w:rsid w:val="002B3058"/>
    <w:rsid w:val="002B30CC"/>
    <w:rsid w:val="002B3E8B"/>
    <w:rsid w:val="002B5871"/>
    <w:rsid w:val="002B6EA0"/>
    <w:rsid w:val="002B7BBC"/>
    <w:rsid w:val="002C0446"/>
    <w:rsid w:val="002C0CCE"/>
    <w:rsid w:val="002C3B16"/>
    <w:rsid w:val="002C4365"/>
    <w:rsid w:val="002C43BA"/>
    <w:rsid w:val="002C56C2"/>
    <w:rsid w:val="002C5F44"/>
    <w:rsid w:val="002C7013"/>
    <w:rsid w:val="002C7836"/>
    <w:rsid w:val="002C7A06"/>
    <w:rsid w:val="002D0AC2"/>
    <w:rsid w:val="002D11EB"/>
    <w:rsid w:val="002D21B2"/>
    <w:rsid w:val="002D2DA9"/>
    <w:rsid w:val="002D3063"/>
    <w:rsid w:val="002D38ED"/>
    <w:rsid w:val="002D431B"/>
    <w:rsid w:val="002D472A"/>
    <w:rsid w:val="002D7382"/>
    <w:rsid w:val="002D75AB"/>
    <w:rsid w:val="002E0204"/>
    <w:rsid w:val="002E0243"/>
    <w:rsid w:val="002E0CFE"/>
    <w:rsid w:val="002E1C5E"/>
    <w:rsid w:val="002E28B3"/>
    <w:rsid w:val="002E2A1F"/>
    <w:rsid w:val="002E4FFF"/>
    <w:rsid w:val="002E5D46"/>
    <w:rsid w:val="002E6FB8"/>
    <w:rsid w:val="002E7895"/>
    <w:rsid w:val="002F150F"/>
    <w:rsid w:val="002F1FBF"/>
    <w:rsid w:val="002F2277"/>
    <w:rsid w:val="002F351E"/>
    <w:rsid w:val="002F448F"/>
    <w:rsid w:val="002F5150"/>
    <w:rsid w:val="002F59C6"/>
    <w:rsid w:val="002F5F11"/>
    <w:rsid w:val="002F6296"/>
    <w:rsid w:val="002F703F"/>
    <w:rsid w:val="002F71A8"/>
    <w:rsid w:val="003008A3"/>
    <w:rsid w:val="00300BA3"/>
    <w:rsid w:val="00300FAB"/>
    <w:rsid w:val="00301D79"/>
    <w:rsid w:val="00302197"/>
    <w:rsid w:val="003040F3"/>
    <w:rsid w:val="00304410"/>
    <w:rsid w:val="00304BBE"/>
    <w:rsid w:val="00305123"/>
    <w:rsid w:val="00305AC0"/>
    <w:rsid w:val="00305FFB"/>
    <w:rsid w:val="0031084D"/>
    <w:rsid w:val="003112C2"/>
    <w:rsid w:val="00311EE1"/>
    <w:rsid w:val="00312CFA"/>
    <w:rsid w:val="00313562"/>
    <w:rsid w:val="00314AF7"/>
    <w:rsid w:val="00315F99"/>
    <w:rsid w:val="00316868"/>
    <w:rsid w:val="00317E43"/>
    <w:rsid w:val="003207F0"/>
    <w:rsid w:val="003219A9"/>
    <w:rsid w:val="00322CA5"/>
    <w:rsid w:val="00322EB2"/>
    <w:rsid w:val="00323A46"/>
    <w:rsid w:val="003250D7"/>
    <w:rsid w:val="003306BA"/>
    <w:rsid w:val="00330864"/>
    <w:rsid w:val="00331E69"/>
    <w:rsid w:val="00331EB7"/>
    <w:rsid w:val="003328E4"/>
    <w:rsid w:val="00333468"/>
    <w:rsid w:val="00334D76"/>
    <w:rsid w:val="00335A0D"/>
    <w:rsid w:val="00335BEC"/>
    <w:rsid w:val="003367BE"/>
    <w:rsid w:val="00337067"/>
    <w:rsid w:val="00337E64"/>
    <w:rsid w:val="00341213"/>
    <w:rsid w:val="003413FD"/>
    <w:rsid w:val="00341AC1"/>
    <w:rsid w:val="00341D32"/>
    <w:rsid w:val="003429F4"/>
    <w:rsid w:val="0034334A"/>
    <w:rsid w:val="00344289"/>
    <w:rsid w:val="00344510"/>
    <w:rsid w:val="00344EDE"/>
    <w:rsid w:val="0034507F"/>
    <w:rsid w:val="00345291"/>
    <w:rsid w:val="0034677E"/>
    <w:rsid w:val="00346B33"/>
    <w:rsid w:val="003474BA"/>
    <w:rsid w:val="00347666"/>
    <w:rsid w:val="003500C4"/>
    <w:rsid w:val="003505AB"/>
    <w:rsid w:val="00350A22"/>
    <w:rsid w:val="00350CF8"/>
    <w:rsid w:val="00351832"/>
    <w:rsid w:val="003518A3"/>
    <w:rsid w:val="00351B84"/>
    <w:rsid w:val="00352CE5"/>
    <w:rsid w:val="00353005"/>
    <w:rsid w:val="003544D5"/>
    <w:rsid w:val="0035492C"/>
    <w:rsid w:val="0035499D"/>
    <w:rsid w:val="00355FB2"/>
    <w:rsid w:val="00360274"/>
    <w:rsid w:val="0036147F"/>
    <w:rsid w:val="00361974"/>
    <w:rsid w:val="003623BA"/>
    <w:rsid w:val="003633A4"/>
    <w:rsid w:val="00363942"/>
    <w:rsid w:val="0036404A"/>
    <w:rsid w:val="00364845"/>
    <w:rsid w:val="00364B08"/>
    <w:rsid w:val="00364F5B"/>
    <w:rsid w:val="003658DD"/>
    <w:rsid w:val="0036624E"/>
    <w:rsid w:val="0036647F"/>
    <w:rsid w:val="003668F2"/>
    <w:rsid w:val="0037008C"/>
    <w:rsid w:val="00370557"/>
    <w:rsid w:val="0037165A"/>
    <w:rsid w:val="00371D87"/>
    <w:rsid w:val="0037207B"/>
    <w:rsid w:val="003721F2"/>
    <w:rsid w:val="00372806"/>
    <w:rsid w:val="003731C8"/>
    <w:rsid w:val="0037335D"/>
    <w:rsid w:val="00374072"/>
    <w:rsid w:val="00374B2B"/>
    <w:rsid w:val="00374E09"/>
    <w:rsid w:val="00376A7E"/>
    <w:rsid w:val="003779A1"/>
    <w:rsid w:val="00380748"/>
    <w:rsid w:val="0038293A"/>
    <w:rsid w:val="00384ACB"/>
    <w:rsid w:val="00384EEF"/>
    <w:rsid w:val="00384F31"/>
    <w:rsid w:val="00384F63"/>
    <w:rsid w:val="00385804"/>
    <w:rsid w:val="00385B11"/>
    <w:rsid w:val="003874E0"/>
    <w:rsid w:val="0039001C"/>
    <w:rsid w:val="003910C5"/>
    <w:rsid w:val="00391468"/>
    <w:rsid w:val="003940D3"/>
    <w:rsid w:val="0039467F"/>
    <w:rsid w:val="003953D6"/>
    <w:rsid w:val="00395DBA"/>
    <w:rsid w:val="00396044"/>
    <w:rsid w:val="00397714"/>
    <w:rsid w:val="003A0944"/>
    <w:rsid w:val="003A1CB8"/>
    <w:rsid w:val="003A28D2"/>
    <w:rsid w:val="003A3795"/>
    <w:rsid w:val="003A448C"/>
    <w:rsid w:val="003A4971"/>
    <w:rsid w:val="003A5CAA"/>
    <w:rsid w:val="003A697D"/>
    <w:rsid w:val="003A725D"/>
    <w:rsid w:val="003A771C"/>
    <w:rsid w:val="003B059D"/>
    <w:rsid w:val="003B0A89"/>
    <w:rsid w:val="003B32EE"/>
    <w:rsid w:val="003B66C5"/>
    <w:rsid w:val="003B76A5"/>
    <w:rsid w:val="003C0915"/>
    <w:rsid w:val="003C1760"/>
    <w:rsid w:val="003C2FFA"/>
    <w:rsid w:val="003C3368"/>
    <w:rsid w:val="003C49F9"/>
    <w:rsid w:val="003C57E4"/>
    <w:rsid w:val="003C6041"/>
    <w:rsid w:val="003C6202"/>
    <w:rsid w:val="003C662A"/>
    <w:rsid w:val="003C775D"/>
    <w:rsid w:val="003D0021"/>
    <w:rsid w:val="003D010A"/>
    <w:rsid w:val="003D262A"/>
    <w:rsid w:val="003D2DBF"/>
    <w:rsid w:val="003D33D8"/>
    <w:rsid w:val="003D4211"/>
    <w:rsid w:val="003D6026"/>
    <w:rsid w:val="003D6223"/>
    <w:rsid w:val="003D679C"/>
    <w:rsid w:val="003D685A"/>
    <w:rsid w:val="003D7083"/>
    <w:rsid w:val="003D7438"/>
    <w:rsid w:val="003D7447"/>
    <w:rsid w:val="003D7D70"/>
    <w:rsid w:val="003E0616"/>
    <w:rsid w:val="003E1C46"/>
    <w:rsid w:val="003E3948"/>
    <w:rsid w:val="003E3A0C"/>
    <w:rsid w:val="003E4317"/>
    <w:rsid w:val="003E46EC"/>
    <w:rsid w:val="003E5199"/>
    <w:rsid w:val="003E5865"/>
    <w:rsid w:val="003E67F0"/>
    <w:rsid w:val="003E6B84"/>
    <w:rsid w:val="003E6CFD"/>
    <w:rsid w:val="003F0F8F"/>
    <w:rsid w:val="003F119F"/>
    <w:rsid w:val="003F1B77"/>
    <w:rsid w:val="003F2297"/>
    <w:rsid w:val="003F3C01"/>
    <w:rsid w:val="003F4009"/>
    <w:rsid w:val="003F45CD"/>
    <w:rsid w:val="003F5DEE"/>
    <w:rsid w:val="003F5E01"/>
    <w:rsid w:val="003F78E0"/>
    <w:rsid w:val="00400215"/>
    <w:rsid w:val="00400839"/>
    <w:rsid w:val="00400A30"/>
    <w:rsid w:val="00400BD1"/>
    <w:rsid w:val="00401626"/>
    <w:rsid w:val="00401C94"/>
    <w:rsid w:val="00401ECC"/>
    <w:rsid w:val="0040220F"/>
    <w:rsid w:val="00402610"/>
    <w:rsid w:val="00402788"/>
    <w:rsid w:val="004034A0"/>
    <w:rsid w:val="00404066"/>
    <w:rsid w:val="00404069"/>
    <w:rsid w:val="00404CFD"/>
    <w:rsid w:val="00405F32"/>
    <w:rsid w:val="00406627"/>
    <w:rsid w:val="0040785A"/>
    <w:rsid w:val="004112C9"/>
    <w:rsid w:val="0041138B"/>
    <w:rsid w:val="004116D9"/>
    <w:rsid w:val="00412339"/>
    <w:rsid w:val="00413702"/>
    <w:rsid w:val="004153B5"/>
    <w:rsid w:val="004153ED"/>
    <w:rsid w:val="00415A2F"/>
    <w:rsid w:val="00415BDA"/>
    <w:rsid w:val="004161E7"/>
    <w:rsid w:val="00416E53"/>
    <w:rsid w:val="00420026"/>
    <w:rsid w:val="00421B18"/>
    <w:rsid w:val="0042239A"/>
    <w:rsid w:val="004237DB"/>
    <w:rsid w:val="00423B2C"/>
    <w:rsid w:val="0042434D"/>
    <w:rsid w:val="00424AE5"/>
    <w:rsid w:val="0042591C"/>
    <w:rsid w:val="00425D27"/>
    <w:rsid w:val="00426163"/>
    <w:rsid w:val="00426557"/>
    <w:rsid w:val="00427B0E"/>
    <w:rsid w:val="00430F06"/>
    <w:rsid w:val="00431366"/>
    <w:rsid w:val="0043166C"/>
    <w:rsid w:val="00431965"/>
    <w:rsid w:val="004319DB"/>
    <w:rsid w:val="00432240"/>
    <w:rsid w:val="00432455"/>
    <w:rsid w:val="004358DE"/>
    <w:rsid w:val="00435A90"/>
    <w:rsid w:val="004413FE"/>
    <w:rsid w:val="004415EB"/>
    <w:rsid w:val="004415F1"/>
    <w:rsid w:val="00444463"/>
    <w:rsid w:val="004447B5"/>
    <w:rsid w:val="00444B71"/>
    <w:rsid w:val="004456E1"/>
    <w:rsid w:val="00445718"/>
    <w:rsid w:val="00445DD9"/>
    <w:rsid w:val="00446174"/>
    <w:rsid w:val="00446403"/>
    <w:rsid w:val="0044740E"/>
    <w:rsid w:val="0045075F"/>
    <w:rsid w:val="0045085A"/>
    <w:rsid w:val="004510BC"/>
    <w:rsid w:val="004520CE"/>
    <w:rsid w:val="0045224A"/>
    <w:rsid w:val="00453007"/>
    <w:rsid w:val="004535C2"/>
    <w:rsid w:val="0045473E"/>
    <w:rsid w:val="00454EA5"/>
    <w:rsid w:val="004561B4"/>
    <w:rsid w:val="004566AA"/>
    <w:rsid w:val="004566F4"/>
    <w:rsid w:val="00456A99"/>
    <w:rsid w:val="00456F6D"/>
    <w:rsid w:val="00456FAB"/>
    <w:rsid w:val="00457492"/>
    <w:rsid w:val="004605E9"/>
    <w:rsid w:val="00460872"/>
    <w:rsid w:val="0046096A"/>
    <w:rsid w:val="004620E8"/>
    <w:rsid w:val="004630F1"/>
    <w:rsid w:val="00463769"/>
    <w:rsid w:val="004639EC"/>
    <w:rsid w:val="00463B8A"/>
    <w:rsid w:val="004640EE"/>
    <w:rsid w:val="00464302"/>
    <w:rsid w:val="00464599"/>
    <w:rsid w:val="0046547F"/>
    <w:rsid w:val="004655A2"/>
    <w:rsid w:val="004667EF"/>
    <w:rsid w:val="0046723B"/>
    <w:rsid w:val="00471F88"/>
    <w:rsid w:val="0047343E"/>
    <w:rsid w:val="00474EA2"/>
    <w:rsid w:val="004752B4"/>
    <w:rsid w:val="00477304"/>
    <w:rsid w:val="004805D8"/>
    <w:rsid w:val="00480897"/>
    <w:rsid w:val="004808E4"/>
    <w:rsid w:val="00481607"/>
    <w:rsid w:val="004816CF"/>
    <w:rsid w:val="00481D2C"/>
    <w:rsid w:val="00482253"/>
    <w:rsid w:val="004826CB"/>
    <w:rsid w:val="004828F9"/>
    <w:rsid w:val="00482DA8"/>
    <w:rsid w:val="004844B5"/>
    <w:rsid w:val="004871CA"/>
    <w:rsid w:val="00487375"/>
    <w:rsid w:val="0048773B"/>
    <w:rsid w:val="00490650"/>
    <w:rsid w:val="00490779"/>
    <w:rsid w:val="00491CF1"/>
    <w:rsid w:val="00492602"/>
    <w:rsid w:val="00492661"/>
    <w:rsid w:val="0049345F"/>
    <w:rsid w:val="0049389E"/>
    <w:rsid w:val="00494C57"/>
    <w:rsid w:val="00496B81"/>
    <w:rsid w:val="00496DE4"/>
    <w:rsid w:val="00496F6B"/>
    <w:rsid w:val="00496F95"/>
    <w:rsid w:val="00497503"/>
    <w:rsid w:val="004A03D8"/>
    <w:rsid w:val="004A102A"/>
    <w:rsid w:val="004A11C9"/>
    <w:rsid w:val="004A354A"/>
    <w:rsid w:val="004A3D3F"/>
    <w:rsid w:val="004A47DA"/>
    <w:rsid w:val="004A491D"/>
    <w:rsid w:val="004A5321"/>
    <w:rsid w:val="004B0541"/>
    <w:rsid w:val="004B0922"/>
    <w:rsid w:val="004B0FD5"/>
    <w:rsid w:val="004B2C80"/>
    <w:rsid w:val="004B539A"/>
    <w:rsid w:val="004B55CB"/>
    <w:rsid w:val="004B6412"/>
    <w:rsid w:val="004C0D6A"/>
    <w:rsid w:val="004C12E0"/>
    <w:rsid w:val="004C18D4"/>
    <w:rsid w:val="004C1C8A"/>
    <w:rsid w:val="004C22CA"/>
    <w:rsid w:val="004C28F8"/>
    <w:rsid w:val="004C3574"/>
    <w:rsid w:val="004C3948"/>
    <w:rsid w:val="004C4425"/>
    <w:rsid w:val="004C4587"/>
    <w:rsid w:val="004C50F9"/>
    <w:rsid w:val="004C5C3F"/>
    <w:rsid w:val="004C68FE"/>
    <w:rsid w:val="004C7B84"/>
    <w:rsid w:val="004D0345"/>
    <w:rsid w:val="004D2490"/>
    <w:rsid w:val="004D2FCD"/>
    <w:rsid w:val="004D3182"/>
    <w:rsid w:val="004D3843"/>
    <w:rsid w:val="004D3CE8"/>
    <w:rsid w:val="004D3DFD"/>
    <w:rsid w:val="004D458F"/>
    <w:rsid w:val="004D5AA2"/>
    <w:rsid w:val="004D7DE1"/>
    <w:rsid w:val="004E0A8B"/>
    <w:rsid w:val="004E0B8A"/>
    <w:rsid w:val="004E343F"/>
    <w:rsid w:val="004E5E42"/>
    <w:rsid w:val="004E66A3"/>
    <w:rsid w:val="004E6FA3"/>
    <w:rsid w:val="004E79F7"/>
    <w:rsid w:val="004F0280"/>
    <w:rsid w:val="004F18BB"/>
    <w:rsid w:val="004F231B"/>
    <w:rsid w:val="004F2789"/>
    <w:rsid w:val="004F2E8B"/>
    <w:rsid w:val="004F2FF7"/>
    <w:rsid w:val="004F38F4"/>
    <w:rsid w:val="004F403C"/>
    <w:rsid w:val="004F5666"/>
    <w:rsid w:val="004F5FFB"/>
    <w:rsid w:val="004F6427"/>
    <w:rsid w:val="004F6CA1"/>
    <w:rsid w:val="004F6F8D"/>
    <w:rsid w:val="005008E9"/>
    <w:rsid w:val="00504E50"/>
    <w:rsid w:val="00505AD6"/>
    <w:rsid w:val="005063FE"/>
    <w:rsid w:val="00506837"/>
    <w:rsid w:val="005079C8"/>
    <w:rsid w:val="00510899"/>
    <w:rsid w:val="005111C4"/>
    <w:rsid w:val="005124C7"/>
    <w:rsid w:val="005132E0"/>
    <w:rsid w:val="00514754"/>
    <w:rsid w:val="00515B13"/>
    <w:rsid w:val="00516722"/>
    <w:rsid w:val="00517BBD"/>
    <w:rsid w:val="00520174"/>
    <w:rsid w:val="00521797"/>
    <w:rsid w:val="005220C3"/>
    <w:rsid w:val="005229E1"/>
    <w:rsid w:val="00523507"/>
    <w:rsid w:val="005236B0"/>
    <w:rsid w:val="00524DA2"/>
    <w:rsid w:val="00524DF4"/>
    <w:rsid w:val="0052554C"/>
    <w:rsid w:val="005258D8"/>
    <w:rsid w:val="00525E5E"/>
    <w:rsid w:val="005270A8"/>
    <w:rsid w:val="005276E6"/>
    <w:rsid w:val="005305B8"/>
    <w:rsid w:val="005308B1"/>
    <w:rsid w:val="005317D6"/>
    <w:rsid w:val="00531E15"/>
    <w:rsid w:val="005323DC"/>
    <w:rsid w:val="00534B61"/>
    <w:rsid w:val="00534CB9"/>
    <w:rsid w:val="00536458"/>
    <w:rsid w:val="0053669E"/>
    <w:rsid w:val="0053697E"/>
    <w:rsid w:val="005404AB"/>
    <w:rsid w:val="00540A2F"/>
    <w:rsid w:val="00542826"/>
    <w:rsid w:val="00542C16"/>
    <w:rsid w:val="00547165"/>
    <w:rsid w:val="0054762B"/>
    <w:rsid w:val="00550A1B"/>
    <w:rsid w:val="00550C8B"/>
    <w:rsid w:val="0055135B"/>
    <w:rsid w:val="00551EFF"/>
    <w:rsid w:val="00552300"/>
    <w:rsid w:val="00552741"/>
    <w:rsid w:val="0055349C"/>
    <w:rsid w:val="005554D2"/>
    <w:rsid w:val="00555FAE"/>
    <w:rsid w:val="0055604B"/>
    <w:rsid w:val="0055610E"/>
    <w:rsid w:val="00556DE9"/>
    <w:rsid w:val="00557BB7"/>
    <w:rsid w:val="0056094E"/>
    <w:rsid w:val="00563569"/>
    <w:rsid w:val="00565BB5"/>
    <w:rsid w:val="005661A4"/>
    <w:rsid w:val="00566BD3"/>
    <w:rsid w:val="005679CD"/>
    <w:rsid w:val="00567A7B"/>
    <w:rsid w:val="00570F44"/>
    <w:rsid w:val="00571CEC"/>
    <w:rsid w:val="00572253"/>
    <w:rsid w:val="00572765"/>
    <w:rsid w:val="005728CC"/>
    <w:rsid w:val="00572F80"/>
    <w:rsid w:val="005742C5"/>
    <w:rsid w:val="005742DD"/>
    <w:rsid w:val="00574AC6"/>
    <w:rsid w:val="0057505B"/>
    <w:rsid w:val="00575093"/>
    <w:rsid w:val="00575343"/>
    <w:rsid w:val="00576189"/>
    <w:rsid w:val="0057691F"/>
    <w:rsid w:val="0057774C"/>
    <w:rsid w:val="00577E46"/>
    <w:rsid w:val="00577F0A"/>
    <w:rsid w:val="00580719"/>
    <w:rsid w:val="00580AE5"/>
    <w:rsid w:val="00580C61"/>
    <w:rsid w:val="00581601"/>
    <w:rsid w:val="00581CEB"/>
    <w:rsid w:val="005826F6"/>
    <w:rsid w:val="00582E5A"/>
    <w:rsid w:val="00584FE1"/>
    <w:rsid w:val="00585221"/>
    <w:rsid w:val="0059001A"/>
    <w:rsid w:val="00590C1F"/>
    <w:rsid w:val="005913A4"/>
    <w:rsid w:val="0059156B"/>
    <w:rsid w:val="00591904"/>
    <w:rsid w:val="00591DCD"/>
    <w:rsid w:val="00592AF1"/>
    <w:rsid w:val="00592F09"/>
    <w:rsid w:val="0059496A"/>
    <w:rsid w:val="00595152"/>
    <w:rsid w:val="005960A7"/>
    <w:rsid w:val="00596A86"/>
    <w:rsid w:val="00596C75"/>
    <w:rsid w:val="005974E6"/>
    <w:rsid w:val="00597C18"/>
    <w:rsid w:val="005A049C"/>
    <w:rsid w:val="005A1008"/>
    <w:rsid w:val="005A28BB"/>
    <w:rsid w:val="005A2F8C"/>
    <w:rsid w:val="005A365B"/>
    <w:rsid w:val="005A398D"/>
    <w:rsid w:val="005A45A9"/>
    <w:rsid w:val="005A6358"/>
    <w:rsid w:val="005A6B07"/>
    <w:rsid w:val="005A6FD2"/>
    <w:rsid w:val="005A7FCE"/>
    <w:rsid w:val="005B0A31"/>
    <w:rsid w:val="005B10E5"/>
    <w:rsid w:val="005B172C"/>
    <w:rsid w:val="005B1842"/>
    <w:rsid w:val="005B1C66"/>
    <w:rsid w:val="005B51E4"/>
    <w:rsid w:val="005B576B"/>
    <w:rsid w:val="005B7073"/>
    <w:rsid w:val="005C0094"/>
    <w:rsid w:val="005C0401"/>
    <w:rsid w:val="005C06BC"/>
    <w:rsid w:val="005C2F80"/>
    <w:rsid w:val="005C3092"/>
    <w:rsid w:val="005C32DC"/>
    <w:rsid w:val="005C37A2"/>
    <w:rsid w:val="005C3EFE"/>
    <w:rsid w:val="005C42CA"/>
    <w:rsid w:val="005C4CAB"/>
    <w:rsid w:val="005C4E36"/>
    <w:rsid w:val="005C5323"/>
    <w:rsid w:val="005C5B04"/>
    <w:rsid w:val="005C6406"/>
    <w:rsid w:val="005C6842"/>
    <w:rsid w:val="005C75C0"/>
    <w:rsid w:val="005C76EF"/>
    <w:rsid w:val="005C7886"/>
    <w:rsid w:val="005C7BB9"/>
    <w:rsid w:val="005D0058"/>
    <w:rsid w:val="005D231A"/>
    <w:rsid w:val="005D2792"/>
    <w:rsid w:val="005D28E2"/>
    <w:rsid w:val="005D3BCD"/>
    <w:rsid w:val="005D3D9D"/>
    <w:rsid w:val="005D47E2"/>
    <w:rsid w:val="005D5E24"/>
    <w:rsid w:val="005E0653"/>
    <w:rsid w:val="005E06B8"/>
    <w:rsid w:val="005E0949"/>
    <w:rsid w:val="005E0B0F"/>
    <w:rsid w:val="005E1812"/>
    <w:rsid w:val="005E1F29"/>
    <w:rsid w:val="005E232D"/>
    <w:rsid w:val="005E2C68"/>
    <w:rsid w:val="005E2DBA"/>
    <w:rsid w:val="005E34EF"/>
    <w:rsid w:val="005E3A97"/>
    <w:rsid w:val="005E3B65"/>
    <w:rsid w:val="005E4593"/>
    <w:rsid w:val="005E4F9F"/>
    <w:rsid w:val="005E534C"/>
    <w:rsid w:val="005E5B72"/>
    <w:rsid w:val="005E6790"/>
    <w:rsid w:val="005E762F"/>
    <w:rsid w:val="005E775A"/>
    <w:rsid w:val="005E780F"/>
    <w:rsid w:val="005E7F05"/>
    <w:rsid w:val="005F0303"/>
    <w:rsid w:val="005F0865"/>
    <w:rsid w:val="005F0AAE"/>
    <w:rsid w:val="005F0B7F"/>
    <w:rsid w:val="005F136C"/>
    <w:rsid w:val="005F1602"/>
    <w:rsid w:val="005F1977"/>
    <w:rsid w:val="005F1EBE"/>
    <w:rsid w:val="005F1EF5"/>
    <w:rsid w:val="005F2891"/>
    <w:rsid w:val="005F3B8E"/>
    <w:rsid w:val="005F4699"/>
    <w:rsid w:val="005F5591"/>
    <w:rsid w:val="005F5A7C"/>
    <w:rsid w:val="005F77B3"/>
    <w:rsid w:val="00600D0F"/>
    <w:rsid w:val="0060246D"/>
    <w:rsid w:val="006026FE"/>
    <w:rsid w:val="00602C2D"/>
    <w:rsid w:val="00604F7C"/>
    <w:rsid w:val="006050D6"/>
    <w:rsid w:val="00605296"/>
    <w:rsid w:val="0060657D"/>
    <w:rsid w:val="00606A92"/>
    <w:rsid w:val="00606B58"/>
    <w:rsid w:val="00607633"/>
    <w:rsid w:val="00607CE8"/>
    <w:rsid w:val="00610668"/>
    <w:rsid w:val="006114FE"/>
    <w:rsid w:val="0061246E"/>
    <w:rsid w:val="006135A9"/>
    <w:rsid w:val="0061394B"/>
    <w:rsid w:val="006148AF"/>
    <w:rsid w:val="00615D3C"/>
    <w:rsid w:val="0061713B"/>
    <w:rsid w:val="00617E87"/>
    <w:rsid w:val="006200D9"/>
    <w:rsid w:val="006211A3"/>
    <w:rsid w:val="006215A5"/>
    <w:rsid w:val="006216E6"/>
    <w:rsid w:val="00621F8E"/>
    <w:rsid w:val="0062264A"/>
    <w:rsid w:val="00622FDF"/>
    <w:rsid w:val="006245F0"/>
    <w:rsid w:val="00624B83"/>
    <w:rsid w:val="00625387"/>
    <w:rsid w:val="006258DD"/>
    <w:rsid w:val="00625DF7"/>
    <w:rsid w:val="00625E09"/>
    <w:rsid w:val="00627527"/>
    <w:rsid w:val="00630093"/>
    <w:rsid w:val="006305C4"/>
    <w:rsid w:val="00631920"/>
    <w:rsid w:val="00631DEF"/>
    <w:rsid w:val="0063287B"/>
    <w:rsid w:val="00632E40"/>
    <w:rsid w:val="006332DB"/>
    <w:rsid w:val="0063336D"/>
    <w:rsid w:val="006335B5"/>
    <w:rsid w:val="006344F7"/>
    <w:rsid w:val="006347A2"/>
    <w:rsid w:val="00634D69"/>
    <w:rsid w:val="00634EE2"/>
    <w:rsid w:val="006351B5"/>
    <w:rsid w:val="006367B6"/>
    <w:rsid w:val="006375A2"/>
    <w:rsid w:val="00640D1D"/>
    <w:rsid w:val="006411BD"/>
    <w:rsid w:val="006414EA"/>
    <w:rsid w:val="00641DC7"/>
    <w:rsid w:val="006423C2"/>
    <w:rsid w:val="00642E80"/>
    <w:rsid w:val="0064337F"/>
    <w:rsid w:val="00643CE1"/>
    <w:rsid w:val="00644356"/>
    <w:rsid w:val="00651215"/>
    <w:rsid w:val="00651809"/>
    <w:rsid w:val="00652132"/>
    <w:rsid w:val="006527CE"/>
    <w:rsid w:val="006529C1"/>
    <w:rsid w:val="00652ACA"/>
    <w:rsid w:val="00653658"/>
    <w:rsid w:val="00655F26"/>
    <w:rsid w:val="00656357"/>
    <w:rsid w:val="00656F56"/>
    <w:rsid w:val="00660274"/>
    <w:rsid w:val="00660A41"/>
    <w:rsid w:val="00660CCF"/>
    <w:rsid w:val="0066110D"/>
    <w:rsid w:val="00662144"/>
    <w:rsid w:val="00662C20"/>
    <w:rsid w:val="00664909"/>
    <w:rsid w:val="006662DE"/>
    <w:rsid w:val="00666A65"/>
    <w:rsid w:val="00667869"/>
    <w:rsid w:val="0067024E"/>
    <w:rsid w:val="00670645"/>
    <w:rsid w:val="00670B92"/>
    <w:rsid w:val="00671094"/>
    <w:rsid w:val="0067126C"/>
    <w:rsid w:val="00671583"/>
    <w:rsid w:val="00672117"/>
    <w:rsid w:val="0067232B"/>
    <w:rsid w:val="006735D9"/>
    <w:rsid w:val="0067360B"/>
    <w:rsid w:val="0067429B"/>
    <w:rsid w:val="00674357"/>
    <w:rsid w:val="0067448D"/>
    <w:rsid w:val="0067449F"/>
    <w:rsid w:val="00675D91"/>
    <w:rsid w:val="00676A8E"/>
    <w:rsid w:val="00680E1B"/>
    <w:rsid w:val="00681E0A"/>
    <w:rsid w:val="00681F41"/>
    <w:rsid w:val="00684D31"/>
    <w:rsid w:val="00684E2F"/>
    <w:rsid w:val="00685670"/>
    <w:rsid w:val="006866AB"/>
    <w:rsid w:val="00686A3E"/>
    <w:rsid w:val="00686E62"/>
    <w:rsid w:val="0068719B"/>
    <w:rsid w:val="0068779C"/>
    <w:rsid w:val="00690451"/>
    <w:rsid w:val="006904EF"/>
    <w:rsid w:val="00692D61"/>
    <w:rsid w:val="006930CC"/>
    <w:rsid w:val="00694727"/>
    <w:rsid w:val="006961A1"/>
    <w:rsid w:val="00697830"/>
    <w:rsid w:val="00697EDA"/>
    <w:rsid w:val="006A08D3"/>
    <w:rsid w:val="006A0A77"/>
    <w:rsid w:val="006A0F42"/>
    <w:rsid w:val="006A1474"/>
    <w:rsid w:val="006A1546"/>
    <w:rsid w:val="006A1ADB"/>
    <w:rsid w:val="006A2C54"/>
    <w:rsid w:val="006A386C"/>
    <w:rsid w:val="006A4CFE"/>
    <w:rsid w:val="006A5C9A"/>
    <w:rsid w:val="006A62C1"/>
    <w:rsid w:val="006B13AB"/>
    <w:rsid w:val="006B39A2"/>
    <w:rsid w:val="006B553F"/>
    <w:rsid w:val="006B5631"/>
    <w:rsid w:val="006B57C8"/>
    <w:rsid w:val="006B6DFA"/>
    <w:rsid w:val="006B6F9E"/>
    <w:rsid w:val="006C0298"/>
    <w:rsid w:val="006C204B"/>
    <w:rsid w:val="006C3611"/>
    <w:rsid w:val="006C3A98"/>
    <w:rsid w:val="006C403C"/>
    <w:rsid w:val="006C4911"/>
    <w:rsid w:val="006C5CE9"/>
    <w:rsid w:val="006C7C22"/>
    <w:rsid w:val="006C7E47"/>
    <w:rsid w:val="006C7EB5"/>
    <w:rsid w:val="006D08BD"/>
    <w:rsid w:val="006D0A7D"/>
    <w:rsid w:val="006D25EC"/>
    <w:rsid w:val="006D2EE2"/>
    <w:rsid w:val="006D3062"/>
    <w:rsid w:val="006D3A4B"/>
    <w:rsid w:val="006D48FE"/>
    <w:rsid w:val="006D4DC2"/>
    <w:rsid w:val="006D538B"/>
    <w:rsid w:val="006D5696"/>
    <w:rsid w:val="006D5845"/>
    <w:rsid w:val="006D5D74"/>
    <w:rsid w:val="006D6B3D"/>
    <w:rsid w:val="006D6BA1"/>
    <w:rsid w:val="006E0A8C"/>
    <w:rsid w:val="006E20C4"/>
    <w:rsid w:val="006E3530"/>
    <w:rsid w:val="006E37D3"/>
    <w:rsid w:val="006E3B59"/>
    <w:rsid w:val="006E542A"/>
    <w:rsid w:val="006E63F2"/>
    <w:rsid w:val="006E6999"/>
    <w:rsid w:val="006E7128"/>
    <w:rsid w:val="006F166D"/>
    <w:rsid w:val="006F1CE5"/>
    <w:rsid w:val="006F23BC"/>
    <w:rsid w:val="006F369A"/>
    <w:rsid w:val="006F36C0"/>
    <w:rsid w:val="006F474E"/>
    <w:rsid w:val="006F6321"/>
    <w:rsid w:val="006F655E"/>
    <w:rsid w:val="006F6F8F"/>
    <w:rsid w:val="006F70EE"/>
    <w:rsid w:val="007009F9"/>
    <w:rsid w:val="007012C5"/>
    <w:rsid w:val="0070187E"/>
    <w:rsid w:val="007032F8"/>
    <w:rsid w:val="00703657"/>
    <w:rsid w:val="007036CD"/>
    <w:rsid w:val="0070377B"/>
    <w:rsid w:val="007045BE"/>
    <w:rsid w:val="007047F9"/>
    <w:rsid w:val="007061BB"/>
    <w:rsid w:val="00710D9D"/>
    <w:rsid w:val="007115BC"/>
    <w:rsid w:val="00712627"/>
    <w:rsid w:val="00712DDE"/>
    <w:rsid w:val="00713AA0"/>
    <w:rsid w:val="00713FB0"/>
    <w:rsid w:val="00714391"/>
    <w:rsid w:val="007153D5"/>
    <w:rsid w:val="00715949"/>
    <w:rsid w:val="00717BBB"/>
    <w:rsid w:val="00720DF2"/>
    <w:rsid w:val="00720F20"/>
    <w:rsid w:val="00721244"/>
    <w:rsid w:val="0072184B"/>
    <w:rsid w:val="00722224"/>
    <w:rsid w:val="0072233C"/>
    <w:rsid w:val="00722757"/>
    <w:rsid w:val="00722FE5"/>
    <w:rsid w:val="00725123"/>
    <w:rsid w:val="00725E42"/>
    <w:rsid w:val="00731F2F"/>
    <w:rsid w:val="007329A7"/>
    <w:rsid w:val="007335A4"/>
    <w:rsid w:val="0073364F"/>
    <w:rsid w:val="00733D3B"/>
    <w:rsid w:val="00733ECF"/>
    <w:rsid w:val="00735BF7"/>
    <w:rsid w:val="00735F30"/>
    <w:rsid w:val="00736589"/>
    <w:rsid w:val="00736B84"/>
    <w:rsid w:val="00736C96"/>
    <w:rsid w:val="00737DE5"/>
    <w:rsid w:val="00737FC9"/>
    <w:rsid w:val="007405FD"/>
    <w:rsid w:val="00741DAB"/>
    <w:rsid w:val="007421E3"/>
    <w:rsid w:val="00743305"/>
    <w:rsid w:val="007434B2"/>
    <w:rsid w:val="00744738"/>
    <w:rsid w:val="00744E90"/>
    <w:rsid w:val="00745454"/>
    <w:rsid w:val="00745D47"/>
    <w:rsid w:val="00746C4D"/>
    <w:rsid w:val="00746CDC"/>
    <w:rsid w:val="007475E8"/>
    <w:rsid w:val="00747CD5"/>
    <w:rsid w:val="0075205D"/>
    <w:rsid w:val="00753FE6"/>
    <w:rsid w:val="007561B8"/>
    <w:rsid w:val="00756C9E"/>
    <w:rsid w:val="00760AE4"/>
    <w:rsid w:val="007620CC"/>
    <w:rsid w:val="00762E80"/>
    <w:rsid w:val="00763674"/>
    <w:rsid w:val="00765611"/>
    <w:rsid w:val="00765FF5"/>
    <w:rsid w:val="00767D5D"/>
    <w:rsid w:val="00767F73"/>
    <w:rsid w:val="007702B6"/>
    <w:rsid w:val="00771530"/>
    <w:rsid w:val="00771737"/>
    <w:rsid w:val="0077205C"/>
    <w:rsid w:val="00773291"/>
    <w:rsid w:val="007748B7"/>
    <w:rsid w:val="007756A8"/>
    <w:rsid w:val="007766A4"/>
    <w:rsid w:val="0077735F"/>
    <w:rsid w:val="007774D6"/>
    <w:rsid w:val="0077760E"/>
    <w:rsid w:val="00777E15"/>
    <w:rsid w:val="0078024D"/>
    <w:rsid w:val="00780C4B"/>
    <w:rsid w:val="00780D84"/>
    <w:rsid w:val="007813EC"/>
    <w:rsid w:val="00781763"/>
    <w:rsid w:val="00781D94"/>
    <w:rsid w:val="00782DC4"/>
    <w:rsid w:val="0078397E"/>
    <w:rsid w:val="00783E91"/>
    <w:rsid w:val="00783FB1"/>
    <w:rsid w:val="007856F6"/>
    <w:rsid w:val="007858D3"/>
    <w:rsid w:val="00785F40"/>
    <w:rsid w:val="00786366"/>
    <w:rsid w:val="007867C5"/>
    <w:rsid w:val="0078680F"/>
    <w:rsid w:val="00786C73"/>
    <w:rsid w:val="007914C2"/>
    <w:rsid w:val="007917B0"/>
    <w:rsid w:val="00791C09"/>
    <w:rsid w:val="00791C5A"/>
    <w:rsid w:val="00792190"/>
    <w:rsid w:val="00792591"/>
    <w:rsid w:val="007934C1"/>
    <w:rsid w:val="00794FC1"/>
    <w:rsid w:val="00795C11"/>
    <w:rsid w:val="00795DF3"/>
    <w:rsid w:val="00796A88"/>
    <w:rsid w:val="00797897"/>
    <w:rsid w:val="00797ADF"/>
    <w:rsid w:val="00797D23"/>
    <w:rsid w:val="00797FE9"/>
    <w:rsid w:val="007A152B"/>
    <w:rsid w:val="007A1A1E"/>
    <w:rsid w:val="007A1C05"/>
    <w:rsid w:val="007A2376"/>
    <w:rsid w:val="007A2DE4"/>
    <w:rsid w:val="007A2E68"/>
    <w:rsid w:val="007A4ED8"/>
    <w:rsid w:val="007A507C"/>
    <w:rsid w:val="007A5463"/>
    <w:rsid w:val="007A5935"/>
    <w:rsid w:val="007A6310"/>
    <w:rsid w:val="007A6801"/>
    <w:rsid w:val="007A6C9A"/>
    <w:rsid w:val="007A725D"/>
    <w:rsid w:val="007B034D"/>
    <w:rsid w:val="007B0526"/>
    <w:rsid w:val="007B0FA2"/>
    <w:rsid w:val="007B25BA"/>
    <w:rsid w:val="007B2AA6"/>
    <w:rsid w:val="007B37FB"/>
    <w:rsid w:val="007B3D74"/>
    <w:rsid w:val="007B3DDA"/>
    <w:rsid w:val="007B48A3"/>
    <w:rsid w:val="007B60DA"/>
    <w:rsid w:val="007B6645"/>
    <w:rsid w:val="007C0738"/>
    <w:rsid w:val="007C0D29"/>
    <w:rsid w:val="007C3206"/>
    <w:rsid w:val="007C39D3"/>
    <w:rsid w:val="007C482E"/>
    <w:rsid w:val="007C518D"/>
    <w:rsid w:val="007C5D85"/>
    <w:rsid w:val="007C769C"/>
    <w:rsid w:val="007D11C5"/>
    <w:rsid w:val="007D2486"/>
    <w:rsid w:val="007D4CEA"/>
    <w:rsid w:val="007D5C9A"/>
    <w:rsid w:val="007D5CE8"/>
    <w:rsid w:val="007D5E26"/>
    <w:rsid w:val="007D64F5"/>
    <w:rsid w:val="007D7BF1"/>
    <w:rsid w:val="007E05CE"/>
    <w:rsid w:val="007E2128"/>
    <w:rsid w:val="007E2A79"/>
    <w:rsid w:val="007E35C3"/>
    <w:rsid w:val="007E510A"/>
    <w:rsid w:val="007E51F1"/>
    <w:rsid w:val="007E5F04"/>
    <w:rsid w:val="007E670E"/>
    <w:rsid w:val="007E6FC1"/>
    <w:rsid w:val="007E73F5"/>
    <w:rsid w:val="007F0620"/>
    <w:rsid w:val="007F0795"/>
    <w:rsid w:val="007F0B25"/>
    <w:rsid w:val="007F1AD7"/>
    <w:rsid w:val="007F1C45"/>
    <w:rsid w:val="007F2637"/>
    <w:rsid w:val="007F3248"/>
    <w:rsid w:val="007F3B5D"/>
    <w:rsid w:val="007F3DED"/>
    <w:rsid w:val="007F4E91"/>
    <w:rsid w:val="007F5888"/>
    <w:rsid w:val="007F7A76"/>
    <w:rsid w:val="007F7A92"/>
    <w:rsid w:val="007F7C05"/>
    <w:rsid w:val="00800161"/>
    <w:rsid w:val="0080049B"/>
    <w:rsid w:val="0080086D"/>
    <w:rsid w:val="0080167A"/>
    <w:rsid w:val="00801855"/>
    <w:rsid w:val="0080189A"/>
    <w:rsid w:val="00801FD1"/>
    <w:rsid w:val="00802CF7"/>
    <w:rsid w:val="00802D86"/>
    <w:rsid w:val="00803EAF"/>
    <w:rsid w:val="008043C4"/>
    <w:rsid w:val="00805006"/>
    <w:rsid w:val="008056B3"/>
    <w:rsid w:val="00805F74"/>
    <w:rsid w:val="008065C9"/>
    <w:rsid w:val="00810307"/>
    <w:rsid w:val="00811434"/>
    <w:rsid w:val="008115A3"/>
    <w:rsid w:val="00811843"/>
    <w:rsid w:val="00812067"/>
    <w:rsid w:val="00813B14"/>
    <w:rsid w:val="008143C9"/>
    <w:rsid w:val="008149E9"/>
    <w:rsid w:val="008158BC"/>
    <w:rsid w:val="00817C67"/>
    <w:rsid w:val="00817FFB"/>
    <w:rsid w:val="00821875"/>
    <w:rsid w:val="0082288E"/>
    <w:rsid w:val="0082355B"/>
    <w:rsid w:val="00823B1E"/>
    <w:rsid w:val="0082548A"/>
    <w:rsid w:val="008260F9"/>
    <w:rsid w:val="00826F94"/>
    <w:rsid w:val="008270B1"/>
    <w:rsid w:val="008273C1"/>
    <w:rsid w:val="00830B69"/>
    <w:rsid w:val="00831108"/>
    <w:rsid w:val="00831A83"/>
    <w:rsid w:val="00832258"/>
    <w:rsid w:val="00833AAB"/>
    <w:rsid w:val="00833DB1"/>
    <w:rsid w:val="0083424A"/>
    <w:rsid w:val="008342E8"/>
    <w:rsid w:val="00835D6F"/>
    <w:rsid w:val="00837AD4"/>
    <w:rsid w:val="0084001F"/>
    <w:rsid w:val="00840BC3"/>
    <w:rsid w:val="00840D09"/>
    <w:rsid w:val="00840E79"/>
    <w:rsid w:val="00841BB1"/>
    <w:rsid w:val="008427E1"/>
    <w:rsid w:val="0084342D"/>
    <w:rsid w:val="008448FA"/>
    <w:rsid w:val="00845E7B"/>
    <w:rsid w:val="00845EA0"/>
    <w:rsid w:val="00847E55"/>
    <w:rsid w:val="0085119D"/>
    <w:rsid w:val="008521BB"/>
    <w:rsid w:val="00853235"/>
    <w:rsid w:val="00854D26"/>
    <w:rsid w:val="00855C12"/>
    <w:rsid w:val="00860285"/>
    <w:rsid w:val="00861012"/>
    <w:rsid w:val="008614CE"/>
    <w:rsid w:val="008655BE"/>
    <w:rsid w:val="00865640"/>
    <w:rsid w:val="00866A2A"/>
    <w:rsid w:val="0087002D"/>
    <w:rsid w:val="008705D4"/>
    <w:rsid w:val="00871EDA"/>
    <w:rsid w:val="00873816"/>
    <w:rsid w:val="008746CA"/>
    <w:rsid w:val="00874A5A"/>
    <w:rsid w:val="00874CC6"/>
    <w:rsid w:val="008752F1"/>
    <w:rsid w:val="00875C9D"/>
    <w:rsid w:val="00877FD0"/>
    <w:rsid w:val="008806EE"/>
    <w:rsid w:val="00880FE9"/>
    <w:rsid w:val="008834C3"/>
    <w:rsid w:val="0088527B"/>
    <w:rsid w:val="00885DFB"/>
    <w:rsid w:val="00890639"/>
    <w:rsid w:val="00890787"/>
    <w:rsid w:val="00891BA4"/>
    <w:rsid w:val="00891E63"/>
    <w:rsid w:val="00891F75"/>
    <w:rsid w:val="008933B6"/>
    <w:rsid w:val="00894B47"/>
    <w:rsid w:val="008950EA"/>
    <w:rsid w:val="00896197"/>
    <w:rsid w:val="008A049F"/>
    <w:rsid w:val="008A0BAA"/>
    <w:rsid w:val="008A1660"/>
    <w:rsid w:val="008A1C0D"/>
    <w:rsid w:val="008A1CD3"/>
    <w:rsid w:val="008A1D09"/>
    <w:rsid w:val="008A1FF5"/>
    <w:rsid w:val="008A22D7"/>
    <w:rsid w:val="008A393D"/>
    <w:rsid w:val="008A3BF9"/>
    <w:rsid w:val="008A3D78"/>
    <w:rsid w:val="008A4DF2"/>
    <w:rsid w:val="008A5D70"/>
    <w:rsid w:val="008A5FC3"/>
    <w:rsid w:val="008A6116"/>
    <w:rsid w:val="008A6486"/>
    <w:rsid w:val="008A6867"/>
    <w:rsid w:val="008A6BB0"/>
    <w:rsid w:val="008A743E"/>
    <w:rsid w:val="008B070F"/>
    <w:rsid w:val="008B0CB4"/>
    <w:rsid w:val="008B113A"/>
    <w:rsid w:val="008B13BE"/>
    <w:rsid w:val="008B1495"/>
    <w:rsid w:val="008B1C7C"/>
    <w:rsid w:val="008B2346"/>
    <w:rsid w:val="008B3E82"/>
    <w:rsid w:val="008B5805"/>
    <w:rsid w:val="008B5AD6"/>
    <w:rsid w:val="008B5B7B"/>
    <w:rsid w:val="008B5E10"/>
    <w:rsid w:val="008B78F8"/>
    <w:rsid w:val="008C2613"/>
    <w:rsid w:val="008C2AF1"/>
    <w:rsid w:val="008C38B2"/>
    <w:rsid w:val="008C4A7E"/>
    <w:rsid w:val="008C52A8"/>
    <w:rsid w:val="008C53EE"/>
    <w:rsid w:val="008C5E57"/>
    <w:rsid w:val="008D01C2"/>
    <w:rsid w:val="008D06F4"/>
    <w:rsid w:val="008D2AFC"/>
    <w:rsid w:val="008D312C"/>
    <w:rsid w:val="008D34CF"/>
    <w:rsid w:val="008D3797"/>
    <w:rsid w:val="008D41DD"/>
    <w:rsid w:val="008D4996"/>
    <w:rsid w:val="008D4A89"/>
    <w:rsid w:val="008D4DB2"/>
    <w:rsid w:val="008D5166"/>
    <w:rsid w:val="008D610F"/>
    <w:rsid w:val="008D686C"/>
    <w:rsid w:val="008D6B53"/>
    <w:rsid w:val="008D765E"/>
    <w:rsid w:val="008D79C6"/>
    <w:rsid w:val="008D7F9E"/>
    <w:rsid w:val="008E0D52"/>
    <w:rsid w:val="008E2207"/>
    <w:rsid w:val="008E2E80"/>
    <w:rsid w:val="008E4678"/>
    <w:rsid w:val="008E4BFC"/>
    <w:rsid w:val="008E4C12"/>
    <w:rsid w:val="008E5EE3"/>
    <w:rsid w:val="008E62CE"/>
    <w:rsid w:val="008E667D"/>
    <w:rsid w:val="008E687B"/>
    <w:rsid w:val="008E71E9"/>
    <w:rsid w:val="008E771E"/>
    <w:rsid w:val="008F03A2"/>
    <w:rsid w:val="008F14A0"/>
    <w:rsid w:val="008F1979"/>
    <w:rsid w:val="008F249B"/>
    <w:rsid w:val="008F283B"/>
    <w:rsid w:val="008F2F80"/>
    <w:rsid w:val="008F314F"/>
    <w:rsid w:val="008F3F4F"/>
    <w:rsid w:val="008F5F73"/>
    <w:rsid w:val="008F6736"/>
    <w:rsid w:val="008F6AE4"/>
    <w:rsid w:val="008F7254"/>
    <w:rsid w:val="008F7739"/>
    <w:rsid w:val="008F7ACA"/>
    <w:rsid w:val="008F7CA1"/>
    <w:rsid w:val="009024EC"/>
    <w:rsid w:val="00904DC4"/>
    <w:rsid w:val="0090542F"/>
    <w:rsid w:val="009056D0"/>
    <w:rsid w:val="00905DAD"/>
    <w:rsid w:val="0091113E"/>
    <w:rsid w:val="009112B2"/>
    <w:rsid w:val="00911837"/>
    <w:rsid w:val="009136A9"/>
    <w:rsid w:val="009157B5"/>
    <w:rsid w:val="00915D6B"/>
    <w:rsid w:val="00916BC2"/>
    <w:rsid w:val="009173DE"/>
    <w:rsid w:val="009176F9"/>
    <w:rsid w:val="00917944"/>
    <w:rsid w:val="00917AAE"/>
    <w:rsid w:val="00920A67"/>
    <w:rsid w:val="00920BB9"/>
    <w:rsid w:val="00920F19"/>
    <w:rsid w:val="00922694"/>
    <w:rsid w:val="00922937"/>
    <w:rsid w:val="0092351F"/>
    <w:rsid w:val="0093091E"/>
    <w:rsid w:val="00930F13"/>
    <w:rsid w:val="0093223B"/>
    <w:rsid w:val="0093258A"/>
    <w:rsid w:val="009327D2"/>
    <w:rsid w:val="0093355C"/>
    <w:rsid w:val="0093367A"/>
    <w:rsid w:val="00933B53"/>
    <w:rsid w:val="00933BA4"/>
    <w:rsid w:val="00935874"/>
    <w:rsid w:val="00936115"/>
    <w:rsid w:val="0094068A"/>
    <w:rsid w:val="0094112C"/>
    <w:rsid w:val="00941871"/>
    <w:rsid w:val="0094242E"/>
    <w:rsid w:val="009435F9"/>
    <w:rsid w:val="00943C37"/>
    <w:rsid w:val="00943E94"/>
    <w:rsid w:val="0094403A"/>
    <w:rsid w:val="009445BF"/>
    <w:rsid w:val="009448A6"/>
    <w:rsid w:val="0094565E"/>
    <w:rsid w:val="009472AA"/>
    <w:rsid w:val="00950AB7"/>
    <w:rsid w:val="00950AE6"/>
    <w:rsid w:val="009512B8"/>
    <w:rsid w:val="00953348"/>
    <w:rsid w:val="00953EF1"/>
    <w:rsid w:val="0095582B"/>
    <w:rsid w:val="00955A3E"/>
    <w:rsid w:val="009561AE"/>
    <w:rsid w:val="0095645A"/>
    <w:rsid w:val="0095770A"/>
    <w:rsid w:val="00960185"/>
    <w:rsid w:val="00960C63"/>
    <w:rsid w:val="00963068"/>
    <w:rsid w:val="00963B66"/>
    <w:rsid w:val="009660D4"/>
    <w:rsid w:val="009667B7"/>
    <w:rsid w:val="009700B9"/>
    <w:rsid w:val="00970370"/>
    <w:rsid w:val="009718C1"/>
    <w:rsid w:val="00972BE8"/>
    <w:rsid w:val="009731E0"/>
    <w:rsid w:val="009734F6"/>
    <w:rsid w:val="009735DB"/>
    <w:rsid w:val="00973793"/>
    <w:rsid w:val="00973ABB"/>
    <w:rsid w:val="00973BBC"/>
    <w:rsid w:val="00974BFD"/>
    <w:rsid w:val="00974E51"/>
    <w:rsid w:val="009758B4"/>
    <w:rsid w:val="009777F7"/>
    <w:rsid w:val="00977F73"/>
    <w:rsid w:val="0098028E"/>
    <w:rsid w:val="00981405"/>
    <w:rsid w:val="00981F6B"/>
    <w:rsid w:val="009823FF"/>
    <w:rsid w:val="00982485"/>
    <w:rsid w:val="009826E4"/>
    <w:rsid w:val="009839AE"/>
    <w:rsid w:val="009844A9"/>
    <w:rsid w:val="00986FB1"/>
    <w:rsid w:val="00987BD8"/>
    <w:rsid w:val="00987C70"/>
    <w:rsid w:val="0099034F"/>
    <w:rsid w:val="00990482"/>
    <w:rsid w:val="009911C7"/>
    <w:rsid w:val="009915E5"/>
    <w:rsid w:val="00991966"/>
    <w:rsid w:val="009922B3"/>
    <w:rsid w:val="0099230F"/>
    <w:rsid w:val="00992707"/>
    <w:rsid w:val="00992809"/>
    <w:rsid w:val="00992AE2"/>
    <w:rsid w:val="00993B17"/>
    <w:rsid w:val="0099476E"/>
    <w:rsid w:val="009947CB"/>
    <w:rsid w:val="0099535D"/>
    <w:rsid w:val="009971EE"/>
    <w:rsid w:val="00997585"/>
    <w:rsid w:val="009A09C3"/>
    <w:rsid w:val="009A0F6A"/>
    <w:rsid w:val="009A18E4"/>
    <w:rsid w:val="009A2656"/>
    <w:rsid w:val="009A4288"/>
    <w:rsid w:val="009A740A"/>
    <w:rsid w:val="009A76B6"/>
    <w:rsid w:val="009A7718"/>
    <w:rsid w:val="009A7CA1"/>
    <w:rsid w:val="009B06B9"/>
    <w:rsid w:val="009B09D2"/>
    <w:rsid w:val="009B0C7C"/>
    <w:rsid w:val="009B13FA"/>
    <w:rsid w:val="009B2421"/>
    <w:rsid w:val="009B26E1"/>
    <w:rsid w:val="009B2FD0"/>
    <w:rsid w:val="009B2FDA"/>
    <w:rsid w:val="009B487C"/>
    <w:rsid w:val="009B7BAB"/>
    <w:rsid w:val="009C0926"/>
    <w:rsid w:val="009C153F"/>
    <w:rsid w:val="009C1A4C"/>
    <w:rsid w:val="009C23DD"/>
    <w:rsid w:val="009C26C4"/>
    <w:rsid w:val="009C2820"/>
    <w:rsid w:val="009C3E6C"/>
    <w:rsid w:val="009C5D28"/>
    <w:rsid w:val="009C64BB"/>
    <w:rsid w:val="009C6F34"/>
    <w:rsid w:val="009C7D06"/>
    <w:rsid w:val="009D0030"/>
    <w:rsid w:val="009D1480"/>
    <w:rsid w:val="009D2200"/>
    <w:rsid w:val="009D23BD"/>
    <w:rsid w:val="009D35BD"/>
    <w:rsid w:val="009D38FE"/>
    <w:rsid w:val="009D58A3"/>
    <w:rsid w:val="009D6563"/>
    <w:rsid w:val="009D6F1D"/>
    <w:rsid w:val="009D7573"/>
    <w:rsid w:val="009D7BD6"/>
    <w:rsid w:val="009E1967"/>
    <w:rsid w:val="009E247C"/>
    <w:rsid w:val="009E2503"/>
    <w:rsid w:val="009E2D7E"/>
    <w:rsid w:val="009E37F8"/>
    <w:rsid w:val="009E3802"/>
    <w:rsid w:val="009E3949"/>
    <w:rsid w:val="009E3FFB"/>
    <w:rsid w:val="009E45B0"/>
    <w:rsid w:val="009E5CCC"/>
    <w:rsid w:val="009E6A6F"/>
    <w:rsid w:val="009E7137"/>
    <w:rsid w:val="009E7364"/>
    <w:rsid w:val="009F0BBF"/>
    <w:rsid w:val="009F194A"/>
    <w:rsid w:val="009F1A2F"/>
    <w:rsid w:val="009F22DE"/>
    <w:rsid w:val="009F5112"/>
    <w:rsid w:val="009F5602"/>
    <w:rsid w:val="009F6393"/>
    <w:rsid w:val="009F7154"/>
    <w:rsid w:val="009F7B59"/>
    <w:rsid w:val="009F7E18"/>
    <w:rsid w:val="00A002AE"/>
    <w:rsid w:val="00A0039E"/>
    <w:rsid w:val="00A00479"/>
    <w:rsid w:val="00A00E19"/>
    <w:rsid w:val="00A00E9D"/>
    <w:rsid w:val="00A017F8"/>
    <w:rsid w:val="00A021B4"/>
    <w:rsid w:val="00A03458"/>
    <w:rsid w:val="00A035F8"/>
    <w:rsid w:val="00A03941"/>
    <w:rsid w:val="00A04EFB"/>
    <w:rsid w:val="00A052B0"/>
    <w:rsid w:val="00A05893"/>
    <w:rsid w:val="00A062E8"/>
    <w:rsid w:val="00A07A7F"/>
    <w:rsid w:val="00A07BB5"/>
    <w:rsid w:val="00A10923"/>
    <w:rsid w:val="00A13F40"/>
    <w:rsid w:val="00A13F5F"/>
    <w:rsid w:val="00A14574"/>
    <w:rsid w:val="00A15558"/>
    <w:rsid w:val="00A15E61"/>
    <w:rsid w:val="00A17D35"/>
    <w:rsid w:val="00A201E3"/>
    <w:rsid w:val="00A2046F"/>
    <w:rsid w:val="00A224BF"/>
    <w:rsid w:val="00A22746"/>
    <w:rsid w:val="00A23361"/>
    <w:rsid w:val="00A237CE"/>
    <w:rsid w:val="00A24380"/>
    <w:rsid w:val="00A243AB"/>
    <w:rsid w:val="00A262DC"/>
    <w:rsid w:val="00A27E3B"/>
    <w:rsid w:val="00A31983"/>
    <w:rsid w:val="00A32393"/>
    <w:rsid w:val="00A32BF0"/>
    <w:rsid w:val="00A33721"/>
    <w:rsid w:val="00A341C1"/>
    <w:rsid w:val="00A35311"/>
    <w:rsid w:val="00A36089"/>
    <w:rsid w:val="00A379B3"/>
    <w:rsid w:val="00A411BD"/>
    <w:rsid w:val="00A415D8"/>
    <w:rsid w:val="00A41E0A"/>
    <w:rsid w:val="00A4280A"/>
    <w:rsid w:val="00A42ABF"/>
    <w:rsid w:val="00A44183"/>
    <w:rsid w:val="00A45762"/>
    <w:rsid w:val="00A4608F"/>
    <w:rsid w:val="00A46F58"/>
    <w:rsid w:val="00A47689"/>
    <w:rsid w:val="00A51A08"/>
    <w:rsid w:val="00A51CF8"/>
    <w:rsid w:val="00A51F49"/>
    <w:rsid w:val="00A52057"/>
    <w:rsid w:val="00A54778"/>
    <w:rsid w:val="00A55341"/>
    <w:rsid w:val="00A55DAB"/>
    <w:rsid w:val="00A605A0"/>
    <w:rsid w:val="00A60BEB"/>
    <w:rsid w:val="00A61D4A"/>
    <w:rsid w:val="00A620F4"/>
    <w:rsid w:val="00A627F5"/>
    <w:rsid w:val="00A62C3F"/>
    <w:rsid w:val="00A62ED2"/>
    <w:rsid w:val="00A64064"/>
    <w:rsid w:val="00A64F6C"/>
    <w:rsid w:val="00A65469"/>
    <w:rsid w:val="00A65843"/>
    <w:rsid w:val="00A65D9D"/>
    <w:rsid w:val="00A664D6"/>
    <w:rsid w:val="00A66DF5"/>
    <w:rsid w:val="00A67AB7"/>
    <w:rsid w:val="00A67F3E"/>
    <w:rsid w:val="00A720CC"/>
    <w:rsid w:val="00A72C94"/>
    <w:rsid w:val="00A73EE4"/>
    <w:rsid w:val="00A744EC"/>
    <w:rsid w:val="00A76E1A"/>
    <w:rsid w:val="00A77717"/>
    <w:rsid w:val="00A8003B"/>
    <w:rsid w:val="00A80B4E"/>
    <w:rsid w:val="00A80BD2"/>
    <w:rsid w:val="00A8184E"/>
    <w:rsid w:val="00A81CE3"/>
    <w:rsid w:val="00A828D1"/>
    <w:rsid w:val="00A83D3E"/>
    <w:rsid w:val="00A84967"/>
    <w:rsid w:val="00A84D21"/>
    <w:rsid w:val="00A87FDB"/>
    <w:rsid w:val="00A91B7F"/>
    <w:rsid w:val="00A93876"/>
    <w:rsid w:val="00A93DD0"/>
    <w:rsid w:val="00A95009"/>
    <w:rsid w:val="00A95D68"/>
    <w:rsid w:val="00A95EF2"/>
    <w:rsid w:val="00A9608B"/>
    <w:rsid w:val="00A96189"/>
    <w:rsid w:val="00A96597"/>
    <w:rsid w:val="00A970E2"/>
    <w:rsid w:val="00A9721B"/>
    <w:rsid w:val="00A97EAF"/>
    <w:rsid w:val="00A97EE0"/>
    <w:rsid w:val="00AA080B"/>
    <w:rsid w:val="00AA2CD7"/>
    <w:rsid w:val="00AA2D00"/>
    <w:rsid w:val="00AA509E"/>
    <w:rsid w:val="00AA53D7"/>
    <w:rsid w:val="00AA5925"/>
    <w:rsid w:val="00AA5E35"/>
    <w:rsid w:val="00AA600D"/>
    <w:rsid w:val="00AA6155"/>
    <w:rsid w:val="00AA7E30"/>
    <w:rsid w:val="00AB02EE"/>
    <w:rsid w:val="00AB0CED"/>
    <w:rsid w:val="00AB1123"/>
    <w:rsid w:val="00AB2B4C"/>
    <w:rsid w:val="00AB3117"/>
    <w:rsid w:val="00AB3492"/>
    <w:rsid w:val="00AB3719"/>
    <w:rsid w:val="00AB49A6"/>
    <w:rsid w:val="00AB49BA"/>
    <w:rsid w:val="00AB5E29"/>
    <w:rsid w:val="00AB6785"/>
    <w:rsid w:val="00AB68AC"/>
    <w:rsid w:val="00AC021F"/>
    <w:rsid w:val="00AC39E1"/>
    <w:rsid w:val="00AC498A"/>
    <w:rsid w:val="00AC4BEB"/>
    <w:rsid w:val="00AC5952"/>
    <w:rsid w:val="00AC6342"/>
    <w:rsid w:val="00AC67BE"/>
    <w:rsid w:val="00AC6C46"/>
    <w:rsid w:val="00AC7397"/>
    <w:rsid w:val="00AC7765"/>
    <w:rsid w:val="00AC7BF4"/>
    <w:rsid w:val="00AD09DE"/>
    <w:rsid w:val="00AD178B"/>
    <w:rsid w:val="00AD17E2"/>
    <w:rsid w:val="00AD4DC7"/>
    <w:rsid w:val="00AD581F"/>
    <w:rsid w:val="00AD676D"/>
    <w:rsid w:val="00AD6860"/>
    <w:rsid w:val="00AD7B4E"/>
    <w:rsid w:val="00AE09D8"/>
    <w:rsid w:val="00AE0DF8"/>
    <w:rsid w:val="00AE2288"/>
    <w:rsid w:val="00AE24AB"/>
    <w:rsid w:val="00AE42A5"/>
    <w:rsid w:val="00AE4729"/>
    <w:rsid w:val="00AE48E1"/>
    <w:rsid w:val="00AE52A8"/>
    <w:rsid w:val="00AE556E"/>
    <w:rsid w:val="00AE560A"/>
    <w:rsid w:val="00AE6013"/>
    <w:rsid w:val="00AE65F6"/>
    <w:rsid w:val="00AE74DA"/>
    <w:rsid w:val="00AF2545"/>
    <w:rsid w:val="00AF30A8"/>
    <w:rsid w:val="00AF37C0"/>
    <w:rsid w:val="00AF43F1"/>
    <w:rsid w:val="00AF4B54"/>
    <w:rsid w:val="00AF67A1"/>
    <w:rsid w:val="00AF687A"/>
    <w:rsid w:val="00AF689B"/>
    <w:rsid w:val="00B003DC"/>
    <w:rsid w:val="00B013EF"/>
    <w:rsid w:val="00B021DF"/>
    <w:rsid w:val="00B0264F"/>
    <w:rsid w:val="00B04299"/>
    <w:rsid w:val="00B0471D"/>
    <w:rsid w:val="00B05990"/>
    <w:rsid w:val="00B06006"/>
    <w:rsid w:val="00B06F45"/>
    <w:rsid w:val="00B0713F"/>
    <w:rsid w:val="00B075ED"/>
    <w:rsid w:val="00B07D92"/>
    <w:rsid w:val="00B10AA4"/>
    <w:rsid w:val="00B11536"/>
    <w:rsid w:val="00B118A6"/>
    <w:rsid w:val="00B11A23"/>
    <w:rsid w:val="00B120C2"/>
    <w:rsid w:val="00B12A01"/>
    <w:rsid w:val="00B13A76"/>
    <w:rsid w:val="00B14997"/>
    <w:rsid w:val="00B14DE6"/>
    <w:rsid w:val="00B153EC"/>
    <w:rsid w:val="00B158C0"/>
    <w:rsid w:val="00B158F8"/>
    <w:rsid w:val="00B15D48"/>
    <w:rsid w:val="00B162A7"/>
    <w:rsid w:val="00B1699A"/>
    <w:rsid w:val="00B16B32"/>
    <w:rsid w:val="00B16CB4"/>
    <w:rsid w:val="00B16EA4"/>
    <w:rsid w:val="00B171E4"/>
    <w:rsid w:val="00B20069"/>
    <w:rsid w:val="00B200FC"/>
    <w:rsid w:val="00B207B5"/>
    <w:rsid w:val="00B20A86"/>
    <w:rsid w:val="00B23AC7"/>
    <w:rsid w:val="00B23D9F"/>
    <w:rsid w:val="00B2456C"/>
    <w:rsid w:val="00B247E7"/>
    <w:rsid w:val="00B24A0F"/>
    <w:rsid w:val="00B24A30"/>
    <w:rsid w:val="00B3017E"/>
    <w:rsid w:val="00B30281"/>
    <w:rsid w:val="00B31191"/>
    <w:rsid w:val="00B339C8"/>
    <w:rsid w:val="00B353F6"/>
    <w:rsid w:val="00B35583"/>
    <w:rsid w:val="00B35AA3"/>
    <w:rsid w:val="00B35E9E"/>
    <w:rsid w:val="00B360C0"/>
    <w:rsid w:val="00B36BE6"/>
    <w:rsid w:val="00B36C5E"/>
    <w:rsid w:val="00B40C1F"/>
    <w:rsid w:val="00B40D9D"/>
    <w:rsid w:val="00B41972"/>
    <w:rsid w:val="00B41BD8"/>
    <w:rsid w:val="00B4211F"/>
    <w:rsid w:val="00B43182"/>
    <w:rsid w:val="00B43DD6"/>
    <w:rsid w:val="00B43F35"/>
    <w:rsid w:val="00B442DE"/>
    <w:rsid w:val="00B443BD"/>
    <w:rsid w:val="00B44B08"/>
    <w:rsid w:val="00B44C65"/>
    <w:rsid w:val="00B45020"/>
    <w:rsid w:val="00B454BE"/>
    <w:rsid w:val="00B4561B"/>
    <w:rsid w:val="00B45A37"/>
    <w:rsid w:val="00B4615F"/>
    <w:rsid w:val="00B4668C"/>
    <w:rsid w:val="00B5048E"/>
    <w:rsid w:val="00B5054B"/>
    <w:rsid w:val="00B505BD"/>
    <w:rsid w:val="00B5232D"/>
    <w:rsid w:val="00B52337"/>
    <w:rsid w:val="00B527D3"/>
    <w:rsid w:val="00B52967"/>
    <w:rsid w:val="00B52DC1"/>
    <w:rsid w:val="00B53A25"/>
    <w:rsid w:val="00B53E82"/>
    <w:rsid w:val="00B54AED"/>
    <w:rsid w:val="00B55CBC"/>
    <w:rsid w:val="00B55E0E"/>
    <w:rsid w:val="00B609CB"/>
    <w:rsid w:val="00B60AFE"/>
    <w:rsid w:val="00B60D1D"/>
    <w:rsid w:val="00B60DF8"/>
    <w:rsid w:val="00B60E26"/>
    <w:rsid w:val="00B61100"/>
    <w:rsid w:val="00B62E8D"/>
    <w:rsid w:val="00B62EC8"/>
    <w:rsid w:val="00B65E48"/>
    <w:rsid w:val="00B66E3F"/>
    <w:rsid w:val="00B67A4B"/>
    <w:rsid w:val="00B717FA"/>
    <w:rsid w:val="00B71D63"/>
    <w:rsid w:val="00B723F7"/>
    <w:rsid w:val="00B732FC"/>
    <w:rsid w:val="00B7382C"/>
    <w:rsid w:val="00B73952"/>
    <w:rsid w:val="00B73966"/>
    <w:rsid w:val="00B73CE8"/>
    <w:rsid w:val="00B73FF0"/>
    <w:rsid w:val="00B742D6"/>
    <w:rsid w:val="00B7499D"/>
    <w:rsid w:val="00B75183"/>
    <w:rsid w:val="00B77368"/>
    <w:rsid w:val="00B778CE"/>
    <w:rsid w:val="00B826D8"/>
    <w:rsid w:val="00B8455B"/>
    <w:rsid w:val="00B859F4"/>
    <w:rsid w:val="00B908EA"/>
    <w:rsid w:val="00B918FE"/>
    <w:rsid w:val="00B9206A"/>
    <w:rsid w:val="00B92567"/>
    <w:rsid w:val="00B929C0"/>
    <w:rsid w:val="00B936C1"/>
    <w:rsid w:val="00B937BA"/>
    <w:rsid w:val="00B93976"/>
    <w:rsid w:val="00B9423A"/>
    <w:rsid w:val="00B94807"/>
    <w:rsid w:val="00B94D6E"/>
    <w:rsid w:val="00B96E3A"/>
    <w:rsid w:val="00B9796C"/>
    <w:rsid w:val="00BA0395"/>
    <w:rsid w:val="00BA0B8E"/>
    <w:rsid w:val="00BA2A83"/>
    <w:rsid w:val="00BA31E4"/>
    <w:rsid w:val="00BA4205"/>
    <w:rsid w:val="00BA5D0B"/>
    <w:rsid w:val="00BA5E6E"/>
    <w:rsid w:val="00BA68D7"/>
    <w:rsid w:val="00BB1209"/>
    <w:rsid w:val="00BB2F81"/>
    <w:rsid w:val="00BB315C"/>
    <w:rsid w:val="00BB3757"/>
    <w:rsid w:val="00BB43AB"/>
    <w:rsid w:val="00BB4689"/>
    <w:rsid w:val="00BB4FA8"/>
    <w:rsid w:val="00BB5333"/>
    <w:rsid w:val="00BB54B0"/>
    <w:rsid w:val="00BB581F"/>
    <w:rsid w:val="00BB6CEB"/>
    <w:rsid w:val="00BB6D96"/>
    <w:rsid w:val="00BB6E06"/>
    <w:rsid w:val="00BB731B"/>
    <w:rsid w:val="00BB77DF"/>
    <w:rsid w:val="00BC020A"/>
    <w:rsid w:val="00BC1593"/>
    <w:rsid w:val="00BC2256"/>
    <w:rsid w:val="00BC41CD"/>
    <w:rsid w:val="00BC4226"/>
    <w:rsid w:val="00BC51B0"/>
    <w:rsid w:val="00BC5A6E"/>
    <w:rsid w:val="00BC7458"/>
    <w:rsid w:val="00BD1055"/>
    <w:rsid w:val="00BD14B3"/>
    <w:rsid w:val="00BD1A43"/>
    <w:rsid w:val="00BD1CFE"/>
    <w:rsid w:val="00BD2160"/>
    <w:rsid w:val="00BD3911"/>
    <w:rsid w:val="00BD428E"/>
    <w:rsid w:val="00BD4536"/>
    <w:rsid w:val="00BD4CD6"/>
    <w:rsid w:val="00BD5739"/>
    <w:rsid w:val="00BD6ADF"/>
    <w:rsid w:val="00BD70F2"/>
    <w:rsid w:val="00BD76F6"/>
    <w:rsid w:val="00BD7B2D"/>
    <w:rsid w:val="00BD7D35"/>
    <w:rsid w:val="00BE0020"/>
    <w:rsid w:val="00BE0137"/>
    <w:rsid w:val="00BE0138"/>
    <w:rsid w:val="00BE0DB8"/>
    <w:rsid w:val="00BE1CF3"/>
    <w:rsid w:val="00BE2665"/>
    <w:rsid w:val="00BE2EEC"/>
    <w:rsid w:val="00BE3670"/>
    <w:rsid w:val="00BE3D8E"/>
    <w:rsid w:val="00BE4339"/>
    <w:rsid w:val="00BE62C3"/>
    <w:rsid w:val="00BE6460"/>
    <w:rsid w:val="00BE6A06"/>
    <w:rsid w:val="00BE712A"/>
    <w:rsid w:val="00BF0E2F"/>
    <w:rsid w:val="00BF3073"/>
    <w:rsid w:val="00BF5E34"/>
    <w:rsid w:val="00BF715D"/>
    <w:rsid w:val="00BF7304"/>
    <w:rsid w:val="00BF7C1E"/>
    <w:rsid w:val="00BF7D94"/>
    <w:rsid w:val="00C0183E"/>
    <w:rsid w:val="00C02B78"/>
    <w:rsid w:val="00C02D66"/>
    <w:rsid w:val="00C03FFA"/>
    <w:rsid w:val="00C040A0"/>
    <w:rsid w:val="00C07235"/>
    <w:rsid w:val="00C075A2"/>
    <w:rsid w:val="00C07B43"/>
    <w:rsid w:val="00C111D4"/>
    <w:rsid w:val="00C11356"/>
    <w:rsid w:val="00C1162B"/>
    <w:rsid w:val="00C11FAA"/>
    <w:rsid w:val="00C13AD4"/>
    <w:rsid w:val="00C1483E"/>
    <w:rsid w:val="00C14E82"/>
    <w:rsid w:val="00C201C5"/>
    <w:rsid w:val="00C2097A"/>
    <w:rsid w:val="00C21440"/>
    <w:rsid w:val="00C214FC"/>
    <w:rsid w:val="00C221E7"/>
    <w:rsid w:val="00C23E49"/>
    <w:rsid w:val="00C25459"/>
    <w:rsid w:val="00C26103"/>
    <w:rsid w:val="00C2714A"/>
    <w:rsid w:val="00C27C4F"/>
    <w:rsid w:val="00C3065F"/>
    <w:rsid w:val="00C30802"/>
    <w:rsid w:val="00C31BD2"/>
    <w:rsid w:val="00C31FFD"/>
    <w:rsid w:val="00C32141"/>
    <w:rsid w:val="00C3428E"/>
    <w:rsid w:val="00C343ED"/>
    <w:rsid w:val="00C35CE7"/>
    <w:rsid w:val="00C36469"/>
    <w:rsid w:val="00C36640"/>
    <w:rsid w:val="00C373FB"/>
    <w:rsid w:val="00C37643"/>
    <w:rsid w:val="00C41073"/>
    <w:rsid w:val="00C411B8"/>
    <w:rsid w:val="00C44FDD"/>
    <w:rsid w:val="00C45FF0"/>
    <w:rsid w:val="00C4746C"/>
    <w:rsid w:val="00C4761A"/>
    <w:rsid w:val="00C50243"/>
    <w:rsid w:val="00C503F1"/>
    <w:rsid w:val="00C50EF2"/>
    <w:rsid w:val="00C50F1D"/>
    <w:rsid w:val="00C51072"/>
    <w:rsid w:val="00C51159"/>
    <w:rsid w:val="00C5168F"/>
    <w:rsid w:val="00C51A29"/>
    <w:rsid w:val="00C52040"/>
    <w:rsid w:val="00C52AE6"/>
    <w:rsid w:val="00C52E0F"/>
    <w:rsid w:val="00C539F2"/>
    <w:rsid w:val="00C53E3E"/>
    <w:rsid w:val="00C53FA5"/>
    <w:rsid w:val="00C542FC"/>
    <w:rsid w:val="00C546E6"/>
    <w:rsid w:val="00C55039"/>
    <w:rsid w:val="00C550A7"/>
    <w:rsid w:val="00C57383"/>
    <w:rsid w:val="00C6012A"/>
    <w:rsid w:val="00C60133"/>
    <w:rsid w:val="00C601B4"/>
    <w:rsid w:val="00C605D8"/>
    <w:rsid w:val="00C62097"/>
    <w:rsid w:val="00C634D0"/>
    <w:rsid w:val="00C650CC"/>
    <w:rsid w:val="00C658A0"/>
    <w:rsid w:val="00C66280"/>
    <w:rsid w:val="00C66461"/>
    <w:rsid w:val="00C672C8"/>
    <w:rsid w:val="00C71377"/>
    <w:rsid w:val="00C7172F"/>
    <w:rsid w:val="00C71C17"/>
    <w:rsid w:val="00C72296"/>
    <w:rsid w:val="00C72297"/>
    <w:rsid w:val="00C73C3D"/>
    <w:rsid w:val="00C74209"/>
    <w:rsid w:val="00C761B0"/>
    <w:rsid w:val="00C76E9F"/>
    <w:rsid w:val="00C76F15"/>
    <w:rsid w:val="00C778F0"/>
    <w:rsid w:val="00C77E60"/>
    <w:rsid w:val="00C77F2B"/>
    <w:rsid w:val="00C8112E"/>
    <w:rsid w:val="00C819DF"/>
    <w:rsid w:val="00C82B22"/>
    <w:rsid w:val="00C857C0"/>
    <w:rsid w:val="00C857D6"/>
    <w:rsid w:val="00C86432"/>
    <w:rsid w:val="00C864B6"/>
    <w:rsid w:val="00C867A7"/>
    <w:rsid w:val="00C876EE"/>
    <w:rsid w:val="00C87E07"/>
    <w:rsid w:val="00C9207E"/>
    <w:rsid w:val="00C92327"/>
    <w:rsid w:val="00C925FF"/>
    <w:rsid w:val="00C92930"/>
    <w:rsid w:val="00C92FAB"/>
    <w:rsid w:val="00C931E8"/>
    <w:rsid w:val="00C932EF"/>
    <w:rsid w:val="00C93B59"/>
    <w:rsid w:val="00C93CA8"/>
    <w:rsid w:val="00C94B34"/>
    <w:rsid w:val="00C96A66"/>
    <w:rsid w:val="00C97766"/>
    <w:rsid w:val="00CA128A"/>
    <w:rsid w:val="00CA1AA5"/>
    <w:rsid w:val="00CA1B9F"/>
    <w:rsid w:val="00CA214A"/>
    <w:rsid w:val="00CA345E"/>
    <w:rsid w:val="00CA4145"/>
    <w:rsid w:val="00CA6A8A"/>
    <w:rsid w:val="00CA7899"/>
    <w:rsid w:val="00CA7E54"/>
    <w:rsid w:val="00CB09D4"/>
    <w:rsid w:val="00CB20D8"/>
    <w:rsid w:val="00CB449E"/>
    <w:rsid w:val="00CB46D5"/>
    <w:rsid w:val="00CB4837"/>
    <w:rsid w:val="00CB50EA"/>
    <w:rsid w:val="00CB5119"/>
    <w:rsid w:val="00CB5AC8"/>
    <w:rsid w:val="00CB5B05"/>
    <w:rsid w:val="00CB65FD"/>
    <w:rsid w:val="00CB6654"/>
    <w:rsid w:val="00CB6910"/>
    <w:rsid w:val="00CB7680"/>
    <w:rsid w:val="00CB7B97"/>
    <w:rsid w:val="00CC0FCF"/>
    <w:rsid w:val="00CC1287"/>
    <w:rsid w:val="00CC20E9"/>
    <w:rsid w:val="00CC2149"/>
    <w:rsid w:val="00CC3B3E"/>
    <w:rsid w:val="00CC4219"/>
    <w:rsid w:val="00CC4A3A"/>
    <w:rsid w:val="00CC55CE"/>
    <w:rsid w:val="00CC6F44"/>
    <w:rsid w:val="00CC7F95"/>
    <w:rsid w:val="00CD0D5B"/>
    <w:rsid w:val="00CD1366"/>
    <w:rsid w:val="00CD14B1"/>
    <w:rsid w:val="00CD1C01"/>
    <w:rsid w:val="00CD2482"/>
    <w:rsid w:val="00CD2989"/>
    <w:rsid w:val="00CD3517"/>
    <w:rsid w:val="00CD533E"/>
    <w:rsid w:val="00CD58FE"/>
    <w:rsid w:val="00CD59AF"/>
    <w:rsid w:val="00CD7D5F"/>
    <w:rsid w:val="00CE0091"/>
    <w:rsid w:val="00CE039A"/>
    <w:rsid w:val="00CE054E"/>
    <w:rsid w:val="00CE15C6"/>
    <w:rsid w:val="00CE18F6"/>
    <w:rsid w:val="00CE1C8D"/>
    <w:rsid w:val="00CE1F2E"/>
    <w:rsid w:val="00CE29F5"/>
    <w:rsid w:val="00CE2C8F"/>
    <w:rsid w:val="00CE388C"/>
    <w:rsid w:val="00CE3C2A"/>
    <w:rsid w:val="00CE400F"/>
    <w:rsid w:val="00CE4028"/>
    <w:rsid w:val="00CE4D8F"/>
    <w:rsid w:val="00CE6364"/>
    <w:rsid w:val="00CE6A7E"/>
    <w:rsid w:val="00CE6DE9"/>
    <w:rsid w:val="00CE7213"/>
    <w:rsid w:val="00CE7B7B"/>
    <w:rsid w:val="00CF00B8"/>
    <w:rsid w:val="00CF03DB"/>
    <w:rsid w:val="00CF178F"/>
    <w:rsid w:val="00CF21E1"/>
    <w:rsid w:val="00CF2323"/>
    <w:rsid w:val="00CF2596"/>
    <w:rsid w:val="00CF2A1B"/>
    <w:rsid w:val="00CF2E1C"/>
    <w:rsid w:val="00CF2FFA"/>
    <w:rsid w:val="00CF3057"/>
    <w:rsid w:val="00CF31E2"/>
    <w:rsid w:val="00CF44B8"/>
    <w:rsid w:val="00CF4868"/>
    <w:rsid w:val="00CF494A"/>
    <w:rsid w:val="00CF4ABF"/>
    <w:rsid w:val="00CF4F64"/>
    <w:rsid w:val="00CF5083"/>
    <w:rsid w:val="00CF5927"/>
    <w:rsid w:val="00CF5FCC"/>
    <w:rsid w:val="00CF68E3"/>
    <w:rsid w:val="00CF79D4"/>
    <w:rsid w:val="00D00B69"/>
    <w:rsid w:val="00D02262"/>
    <w:rsid w:val="00D03644"/>
    <w:rsid w:val="00D04349"/>
    <w:rsid w:val="00D04614"/>
    <w:rsid w:val="00D04A52"/>
    <w:rsid w:val="00D04B21"/>
    <w:rsid w:val="00D05353"/>
    <w:rsid w:val="00D0655F"/>
    <w:rsid w:val="00D076AC"/>
    <w:rsid w:val="00D100EE"/>
    <w:rsid w:val="00D1060A"/>
    <w:rsid w:val="00D118FB"/>
    <w:rsid w:val="00D11BEF"/>
    <w:rsid w:val="00D11E77"/>
    <w:rsid w:val="00D1218A"/>
    <w:rsid w:val="00D121DB"/>
    <w:rsid w:val="00D129BA"/>
    <w:rsid w:val="00D12B72"/>
    <w:rsid w:val="00D12DE1"/>
    <w:rsid w:val="00D1330D"/>
    <w:rsid w:val="00D138B5"/>
    <w:rsid w:val="00D14379"/>
    <w:rsid w:val="00D150D5"/>
    <w:rsid w:val="00D1540C"/>
    <w:rsid w:val="00D163CB"/>
    <w:rsid w:val="00D168B0"/>
    <w:rsid w:val="00D175AD"/>
    <w:rsid w:val="00D176A6"/>
    <w:rsid w:val="00D2069D"/>
    <w:rsid w:val="00D2175A"/>
    <w:rsid w:val="00D218CC"/>
    <w:rsid w:val="00D21ADD"/>
    <w:rsid w:val="00D221D4"/>
    <w:rsid w:val="00D25703"/>
    <w:rsid w:val="00D26040"/>
    <w:rsid w:val="00D2661E"/>
    <w:rsid w:val="00D31271"/>
    <w:rsid w:val="00D31837"/>
    <w:rsid w:val="00D31F7C"/>
    <w:rsid w:val="00D322D5"/>
    <w:rsid w:val="00D32E75"/>
    <w:rsid w:val="00D3315A"/>
    <w:rsid w:val="00D33955"/>
    <w:rsid w:val="00D35030"/>
    <w:rsid w:val="00D36409"/>
    <w:rsid w:val="00D407D3"/>
    <w:rsid w:val="00D40AF7"/>
    <w:rsid w:val="00D40FDB"/>
    <w:rsid w:val="00D4166A"/>
    <w:rsid w:val="00D43C88"/>
    <w:rsid w:val="00D456DC"/>
    <w:rsid w:val="00D47506"/>
    <w:rsid w:val="00D5096D"/>
    <w:rsid w:val="00D50AC4"/>
    <w:rsid w:val="00D50E33"/>
    <w:rsid w:val="00D51ACF"/>
    <w:rsid w:val="00D522EA"/>
    <w:rsid w:val="00D526C2"/>
    <w:rsid w:val="00D52C50"/>
    <w:rsid w:val="00D5357C"/>
    <w:rsid w:val="00D5379B"/>
    <w:rsid w:val="00D53B0A"/>
    <w:rsid w:val="00D5459E"/>
    <w:rsid w:val="00D57061"/>
    <w:rsid w:val="00D577DC"/>
    <w:rsid w:val="00D603BE"/>
    <w:rsid w:val="00D60976"/>
    <w:rsid w:val="00D61CC5"/>
    <w:rsid w:val="00D628FB"/>
    <w:rsid w:val="00D62901"/>
    <w:rsid w:val="00D62B1E"/>
    <w:rsid w:val="00D62D1C"/>
    <w:rsid w:val="00D63247"/>
    <w:rsid w:val="00D6370B"/>
    <w:rsid w:val="00D6376D"/>
    <w:rsid w:val="00D63E5A"/>
    <w:rsid w:val="00D66100"/>
    <w:rsid w:val="00D66FD9"/>
    <w:rsid w:val="00D67F75"/>
    <w:rsid w:val="00D7124B"/>
    <w:rsid w:val="00D7146A"/>
    <w:rsid w:val="00D72050"/>
    <w:rsid w:val="00D72875"/>
    <w:rsid w:val="00D72AFA"/>
    <w:rsid w:val="00D739D7"/>
    <w:rsid w:val="00D75E43"/>
    <w:rsid w:val="00D767F5"/>
    <w:rsid w:val="00D76945"/>
    <w:rsid w:val="00D76E79"/>
    <w:rsid w:val="00D76FEC"/>
    <w:rsid w:val="00D80483"/>
    <w:rsid w:val="00D8143D"/>
    <w:rsid w:val="00D85D58"/>
    <w:rsid w:val="00D86B67"/>
    <w:rsid w:val="00D86D66"/>
    <w:rsid w:val="00D87903"/>
    <w:rsid w:val="00D87D38"/>
    <w:rsid w:val="00D87E2A"/>
    <w:rsid w:val="00D90A72"/>
    <w:rsid w:val="00D91837"/>
    <w:rsid w:val="00D91880"/>
    <w:rsid w:val="00D91CC9"/>
    <w:rsid w:val="00D9215C"/>
    <w:rsid w:val="00D92465"/>
    <w:rsid w:val="00D92B35"/>
    <w:rsid w:val="00D93694"/>
    <w:rsid w:val="00D9544E"/>
    <w:rsid w:val="00D96CD1"/>
    <w:rsid w:val="00D96FDD"/>
    <w:rsid w:val="00D9716C"/>
    <w:rsid w:val="00DA1220"/>
    <w:rsid w:val="00DA251D"/>
    <w:rsid w:val="00DA2A0B"/>
    <w:rsid w:val="00DA2FF2"/>
    <w:rsid w:val="00DA3032"/>
    <w:rsid w:val="00DA3514"/>
    <w:rsid w:val="00DA3517"/>
    <w:rsid w:val="00DA4023"/>
    <w:rsid w:val="00DA423F"/>
    <w:rsid w:val="00DA4A1B"/>
    <w:rsid w:val="00DA4C93"/>
    <w:rsid w:val="00DA542D"/>
    <w:rsid w:val="00DA749B"/>
    <w:rsid w:val="00DA773E"/>
    <w:rsid w:val="00DB21E6"/>
    <w:rsid w:val="00DB23B4"/>
    <w:rsid w:val="00DB29B4"/>
    <w:rsid w:val="00DB3F70"/>
    <w:rsid w:val="00DB47A7"/>
    <w:rsid w:val="00DB4816"/>
    <w:rsid w:val="00DB4B28"/>
    <w:rsid w:val="00DB4E4C"/>
    <w:rsid w:val="00DB561B"/>
    <w:rsid w:val="00DB5809"/>
    <w:rsid w:val="00DB6E00"/>
    <w:rsid w:val="00DC02FC"/>
    <w:rsid w:val="00DC1A42"/>
    <w:rsid w:val="00DC2517"/>
    <w:rsid w:val="00DC2984"/>
    <w:rsid w:val="00DC5C70"/>
    <w:rsid w:val="00DC67F5"/>
    <w:rsid w:val="00DC70A9"/>
    <w:rsid w:val="00DC7A39"/>
    <w:rsid w:val="00DD01B3"/>
    <w:rsid w:val="00DD3815"/>
    <w:rsid w:val="00DD5A8A"/>
    <w:rsid w:val="00DD6147"/>
    <w:rsid w:val="00DD652A"/>
    <w:rsid w:val="00DD6C70"/>
    <w:rsid w:val="00DD755A"/>
    <w:rsid w:val="00DE064E"/>
    <w:rsid w:val="00DE0F4D"/>
    <w:rsid w:val="00DE16B7"/>
    <w:rsid w:val="00DE178F"/>
    <w:rsid w:val="00DE2426"/>
    <w:rsid w:val="00DE31CD"/>
    <w:rsid w:val="00DE4B75"/>
    <w:rsid w:val="00DE4CD7"/>
    <w:rsid w:val="00DE4E49"/>
    <w:rsid w:val="00DE52D9"/>
    <w:rsid w:val="00DE78FA"/>
    <w:rsid w:val="00DF0300"/>
    <w:rsid w:val="00DF0D3D"/>
    <w:rsid w:val="00DF2ADA"/>
    <w:rsid w:val="00DF2D7B"/>
    <w:rsid w:val="00DF2F7A"/>
    <w:rsid w:val="00DF386F"/>
    <w:rsid w:val="00DF3D51"/>
    <w:rsid w:val="00DF4ACD"/>
    <w:rsid w:val="00DF4CE8"/>
    <w:rsid w:val="00DF6127"/>
    <w:rsid w:val="00DF64AB"/>
    <w:rsid w:val="00DF6972"/>
    <w:rsid w:val="00DF6A7B"/>
    <w:rsid w:val="00DF79AB"/>
    <w:rsid w:val="00E00095"/>
    <w:rsid w:val="00E00FF4"/>
    <w:rsid w:val="00E010CD"/>
    <w:rsid w:val="00E01AD8"/>
    <w:rsid w:val="00E01BCA"/>
    <w:rsid w:val="00E03684"/>
    <w:rsid w:val="00E03817"/>
    <w:rsid w:val="00E03E9D"/>
    <w:rsid w:val="00E04DBA"/>
    <w:rsid w:val="00E06303"/>
    <w:rsid w:val="00E06A41"/>
    <w:rsid w:val="00E06CF9"/>
    <w:rsid w:val="00E071C4"/>
    <w:rsid w:val="00E07568"/>
    <w:rsid w:val="00E07F85"/>
    <w:rsid w:val="00E110C1"/>
    <w:rsid w:val="00E11473"/>
    <w:rsid w:val="00E11FFC"/>
    <w:rsid w:val="00E12780"/>
    <w:rsid w:val="00E14B61"/>
    <w:rsid w:val="00E15DB3"/>
    <w:rsid w:val="00E16562"/>
    <w:rsid w:val="00E174D5"/>
    <w:rsid w:val="00E2017C"/>
    <w:rsid w:val="00E2111F"/>
    <w:rsid w:val="00E228DD"/>
    <w:rsid w:val="00E23D74"/>
    <w:rsid w:val="00E2467F"/>
    <w:rsid w:val="00E2491C"/>
    <w:rsid w:val="00E24DC7"/>
    <w:rsid w:val="00E25266"/>
    <w:rsid w:val="00E259BA"/>
    <w:rsid w:val="00E2650E"/>
    <w:rsid w:val="00E26A5C"/>
    <w:rsid w:val="00E2734F"/>
    <w:rsid w:val="00E27C9E"/>
    <w:rsid w:val="00E3145B"/>
    <w:rsid w:val="00E3177D"/>
    <w:rsid w:val="00E326DE"/>
    <w:rsid w:val="00E33719"/>
    <w:rsid w:val="00E3388B"/>
    <w:rsid w:val="00E33905"/>
    <w:rsid w:val="00E341CF"/>
    <w:rsid w:val="00E34211"/>
    <w:rsid w:val="00E3545D"/>
    <w:rsid w:val="00E37302"/>
    <w:rsid w:val="00E40293"/>
    <w:rsid w:val="00E40D02"/>
    <w:rsid w:val="00E41070"/>
    <w:rsid w:val="00E4207A"/>
    <w:rsid w:val="00E42D73"/>
    <w:rsid w:val="00E42E30"/>
    <w:rsid w:val="00E43971"/>
    <w:rsid w:val="00E45519"/>
    <w:rsid w:val="00E45756"/>
    <w:rsid w:val="00E45790"/>
    <w:rsid w:val="00E45DB4"/>
    <w:rsid w:val="00E45FEC"/>
    <w:rsid w:val="00E46C18"/>
    <w:rsid w:val="00E473F6"/>
    <w:rsid w:val="00E5126E"/>
    <w:rsid w:val="00E51504"/>
    <w:rsid w:val="00E518A8"/>
    <w:rsid w:val="00E51D1E"/>
    <w:rsid w:val="00E5209C"/>
    <w:rsid w:val="00E52DBE"/>
    <w:rsid w:val="00E55E4E"/>
    <w:rsid w:val="00E57FE1"/>
    <w:rsid w:val="00E60B02"/>
    <w:rsid w:val="00E60EF2"/>
    <w:rsid w:val="00E61FFD"/>
    <w:rsid w:val="00E62917"/>
    <w:rsid w:val="00E6325D"/>
    <w:rsid w:val="00E636ED"/>
    <w:rsid w:val="00E6373F"/>
    <w:rsid w:val="00E6775F"/>
    <w:rsid w:val="00E677C3"/>
    <w:rsid w:val="00E701D1"/>
    <w:rsid w:val="00E710BD"/>
    <w:rsid w:val="00E722FD"/>
    <w:rsid w:val="00E736F4"/>
    <w:rsid w:val="00E739A2"/>
    <w:rsid w:val="00E74C8D"/>
    <w:rsid w:val="00E7515A"/>
    <w:rsid w:val="00E7582A"/>
    <w:rsid w:val="00E76127"/>
    <w:rsid w:val="00E76278"/>
    <w:rsid w:val="00E76C41"/>
    <w:rsid w:val="00E771F0"/>
    <w:rsid w:val="00E815E0"/>
    <w:rsid w:val="00E82A9A"/>
    <w:rsid w:val="00E82AC3"/>
    <w:rsid w:val="00E82FB7"/>
    <w:rsid w:val="00E83468"/>
    <w:rsid w:val="00E85815"/>
    <w:rsid w:val="00E86CB3"/>
    <w:rsid w:val="00E90E20"/>
    <w:rsid w:val="00E9112C"/>
    <w:rsid w:val="00E91BA6"/>
    <w:rsid w:val="00E93719"/>
    <w:rsid w:val="00E9640A"/>
    <w:rsid w:val="00E97D1C"/>
    <w:rsid w:val="00E97D66"/>
    <w:rsid w:val="00EA0553"/>
    <w:rsid w:val="00EA199B"/>
    <w:rsid w:val="00EA1A42"/>
    <w:rsid w:val="00EA2494"/>
    <w:rsid w:val="00EA30EF"/>
    <w:rsid w:val="00EA579D"/>
    <w:rsid w:val="00EA5F76"/>
    <w:rsid w:val="00EA6785"/>
    <w:rsid w:val="00EA7807"/>
    <w:rsid w:val="00EA7C63"/>
    <w:rsid w:val="00EB0B38"/>
    <w:rsid w:val="00EB1970"/>
    <w:rsid w:val="00EB22A3"/>
    <w:rsid w:val="00EB2C3B"/>
    <w:rsid w:val="00EB3209"/>
    <w:rsid w:val="00EB342A"/>
    <w:rsid w:val="00EB436B"/>
    <w:rsid w:val="00EB51EA"/>
    <w:rsid w:val="00EB525B"/>
    <w:rsid w:val="00EB5F20"/>
    <w:rsid w:val="00EC1A8F"/>
    <w:rsid w:val="00EC3FE5"/>
    <w:rsid w:val="00ED018D"/>
    <w:rsid w:val="00ED0240"/>
    <w:rsid w:val="00ED0858"/>
    <w:rsid w:val="00ED0AD8"/>
    <w:rsid w:val="00ED0C17"/>
    <w:rsid w:val="00ED0C53"/>
    <w:rsid w:val="00ED1714"/>
    <w:rsid w:val="00ED2637"/>
    <w:rsid w:val="00ED2E8F"/>
    <w:rsid w:val="00ED2F9A"/>
    <w:rsid w:val="00ED339C"/>
    <w:rsid w:val="00ED6102"/>
    <w:rsid w:val="00ED67D5"/>
    <w:rsid w:val="00ED6FC0"/>
    <w:rsid w:val="00EE01FD"/>
    <w:rsid w:val="00EE192B"/>
    <w:rsid w:val="00EE19B6"/>
    <w:rsid w:val="00EE1A2B"/>
    <w:rsid w:val="00EE2613"/>
    <w:rsid w:val="00EE2653"/>
    <w:rsid w:val="00EE44FE"/>
    <w:rsid w:val="00EE4623"/>
    <w:rsid w:val="00EE5691"/>
    <w:rsid w:val="00EE575A"/>
    <w:rsid w:val="00EE5975"/>
    <w:rsid w:val="00EE69CA"/>
    <w:rsid w:val="00EE6E66"/>
    <w:rsid w:val="00EF2BE8"/>
    <w:rsid w:val="00EF65D3"/>
    <w:rsid w:val="00EF66D0"/>
    <w:rsid w:val="00EF723A"/>
    <w:rsid w:val="00EF7718"/>
    <w:rsid w:val="00EF7D26"/>
    <w:rsid w:val="00EF7EE6"/>
    <w:rsid w:val="00F01D77"/>
    <w:rsid w:val="00F01E01"/>
    <w:rsid w:val="00F0345E"/>
    <w:rsid w:val="00F03933"/>
    <w:rsid w:val="00F05146"/>
    <w:rsid w:val="00F05859"/>
    <w:rsid w:val="00F06B5B"/>
    <w:rsid w:val="00F10697"/>
    <w:rsid w:val="00F10FFA"/>
    <w:rsid w:val="00F11A30"/>
    <w:rsid w:val="00F134F1"/>
    <w:rsid w:val="00F14D9C"/>
    <w:rsid w:val="00F15B09"/>
    <w:rsid w:val="00F1631A"/>
    <w:rsid w:val="00F167D5"/>
    <w:rsid w:val="00F16C41"/>
    <w:rsid w:val="00F174AC"/>
    <w:rsid w:val="00F17ACD"/>
    <w:rsid w:val="00F212A5"/>
    <w:rsid w:val="00F23EEE"/>
    <w:rsid w:val="00F25474"/>
    <w:rsid w:val="00F25E86"/>
    <w:rsid w:val="00F27A0A"/>
    <w:rsid w:val="00F30697"/>
    <w:rsid w:val="00F30B2B"/>
    <w:rsid w:val="00F310AB"/>
    <w:rsid w:val="00F31377"/>
    <w:rsid w:val="00F313CE"/>
    <w:rsid w:val="00F32655"/>
    <w:rsid w:val="00F332B2"/>
    <w:rsid w:val="00F33A48"/>
    <w:rsid w:val="00F33B92"/>
    <w:rsid w:val="00F36A66"/>
    <w:rsid w:val="00F36C37"/>
    <w:rsid w:val="00F36CD6"/>
    <w:rsid w:val="00F42B3B"/>
    <w:rsid w:val="00F45DD8"/>
    <w:rsid w:val="00F45E97"/>
    <w:rsid w:val="00F46DEF"/>
    <w:rsid w:val="00F475CA"/>
    <w:rsid w:val="00F504D0"/>
    <w:rsid w:val="00F51028"/>
    <w:rsid w:val="00F51DE2"/>
    <w:rsid w:val="00F5245C"/>
    <w:rsid w:val="00F52F36"/>
    <w:rsid w:val="00F54B00"/>
    <w:rsid w:val="00F574A5"/>
    <w:rsid w:val="00F57D27"/>
    <w:rsid w:val="00F604F3"/>
    <w:rsid w:val="00F60780"/>
    <w:rsid w:val="00F6107E"/>
    <w:rsid w:val="00F61264"/>
    <w:rsid w:val="00F613DA"/>
    <w:rsid w:val="00F62892"/>
    <w:rsid w:val="00F646BB"/>
    <w:rsid w:val="00F64AA0"/>
    <w:rsid w:val="00F65530"/>
    <w:rsid w:val="00F65671"/>
    <w:rsid w:val="00F65B9F"/>
    <w:rsid w:val="00F66626"/>
    <w:rsid w:val="00F66D42"/>
    <w:rsid w:val="00F67AF1"/>
    <w:rsid w:val="00F71380"/>
    <w:rsid w:val="00F7178C"/>
    <w:rsid w:val="00F719C0"/>
    <w:rsid w:val="00F722B5"/>
    <w:rsid w:val="00F73CA6"/>
    <w:rsid w:val="00F747F5"/>
    <w:rsid w:val="00F74BF5"/>
    <w:rsid w:val="00F75674"/>
    <w:rsid w:val="00F75D8A"/>
    <w:rsid w:val="00F76929"/>
    <w:rsid w:val="00F80D44"/>
    <w:rsid w:val="00F82BB8"/>
    <w:rsid w:val="00F82E9E"/>
    <w:rsid w:val="00F84C8F"/>
    <w:rsid w:val="00F85CCD"/>
    <w:rsid w:val="00F85FDB"/>
    <w:rsid w:val="00F87FFE"/>
    <w:rsid w:val="00F90D69"/>
    <w:rsid w:val="00F9199E"/>
    <w:rsid w:val="00F91E4F"/>
    <w:rsid w:val="00F9214A"/>
    <w:rsid w:val="00F92F47"/>
    <w:rsid w:val="00F93563"/>
    <w:rsid w:val="00F94D24"/>
    <w:rsid w:val="00F95366"/>
    <w:rsid w:val="00F95707"/>
    <w:rsid w:val="00F965ED"/>
    <w:rsid w:val="00F9706E"/>
    <w:rsid w:val="00F97C85"/>
    <w:rsid w:val="00FA054B"/>
    <w:rsid w:val="00FA174C"/>
    <w:rsid w:val="00FA2435"/>
    <w:rsid w:val="00FA3289"/>
    <w:rsid w:val="00FA4939"/>
    <w:rsid w:val="00FA4C14"/>
    <w:rsid w:val="00FA55D7"/>
    <w:rsid w:val="00FA56F5"/>
    <w:rsid w:val="00FA5EF0"/>
    <w:rsid w:val="00FA64B8"/>
    <w:rsid w:val="00FB1088"/>
    <w:rsid w:val="00FB10C5"/>
    <w:rsid w:val="00FB1886"/>
    <w:rsid w:val="00FB1AAF"/>
    <w:rsid w:val="00FB27DF"/>
    <w:rsid w:val="00FB280D"/>
    <w:rsid w:val="00FB3C65"/>
    <w:rsid w:val="00FB4AAD"/>
    <w:rsid w:val="00FB5FFD"/>
    <w:rsid w:val="00FB71C9"/>
    <w:rsid w:val="00FB73D7"/>
    <w:rsid w:val="00FB744F"/>
    <w:rsid w:val="00FC02ED"/>
    <w:rsid w:val="00FC0941"/>
    <w:rsid w:val="00FC14AD"/>
    <w:rsid w:val="00FC1B94"/>
    <w:rsid w:val="00FC28EE"/>
    <w:rsid w:val="00FC2BA2"/>
    <w:rsid w:val="00FC3A77"/>
    <w:rsid w:val="00FC4677"/>
    <w:rsid w:val="00FC4FF2"/>
    <w:rsid w:val="00FC521B"/>
    <w:rsid w:val="00FC72E6"/>
    <w:rsid w:val="00FC747A"/>
    <w:rsid w:val="00FC76EC"/>
    <w:rsid w:val="00FD3F4E"/>
    <w:rsid w:val="00FD44A6"/>
    <w:rsid w:val="00FD6FF6"/>
    <w:rsid w:val="00FD7F0C"/>
    <w:rsid w:val="00FE0985"/>
    <w:rsid w:val="00FE0C57"/>
    <w:rsid w:val="00FE17A6"/>
    <w:rsid w:val="00FE2795"/>
    <w:rsid w:val="00FE2EDF"/>
    <w:rsid w:val="00FE4F29"/>
    <w:rsid w:val="00FE56FC"/>
    <w:rsid w:val="00FE5AA0"/>
    <w:rsid w:val="00FE710F"/>
    <w:rsid w:val="00FE7341"/>
    <w:rsid w:val="00FE7352"/>
    <w:rsid w:val="00FE7AA3"/>
    <w:rsid w:val="00FE7BC3"/>
    <w:rsid w:val="00FE7DE7"/>
    <w:rsid w:val="00FE7EA6"/>
    <w:rsid w:val="00FF12BE"/>
    <w:rsid w:val="00FF1B80"/>
    <w:rsid w:val="00FF1E72"/>
    <w:rsid w:val="00FF308E"/>
    <w:rsid w:val="00FF52BC"/>
    <w:rsid w:val="00FF720A"/>
    <w:rsid w:val="00FF727C"/>
    <w:rsid w:val="00FF761A"/>
    <w:rsid w:val="00FF7649"/>
    <w:rsid w:val="04FE3F00"/>
    <w:rsid w:val="053A08A4"/>
    <w:rsid w:val="060C3B39"/>
    <w:rsid w:val="0722670E"/>
    <w:rsid w:val="0C5A4E52"/>
    <w:rsid w:val="0CF211E6"/>
    <w:rsid w:val="0D93281F"/>
    <w:rsid w:val="0DDD0FD9"/>
    <w:rsid w:val="0E9573D5"/>
    <w:rsid w:val="14AD3269"/>
    <w:rsid w:val="15477903"/>
    <w:rsid w:val="15895C4A"/>
    <w:rsid w:val="1C1D455D"/>
    <w:rsid w:val="1E9F227F"/>
    <w:rsid w:val="24CC24D4"/>
    <w:rsid w:val="25DD1DC2"/>
    <w:rsid w:val="26B476AE"/>
    <w:rsid w:val="27054F28"/>
    <w:rsid w:val="27176383"/>
    <w:rsid w:val="27915F13"/>
    <w:rsid w:val="27AF1A3F"/>
    <w:rsid w:val="28BF1AE5"/>
    <w:rsid w:val="2CA14595"/>
    <w:rsid w:val="2E0971D6"/>
    <w:rsid w:val="31177707"/>
    <w:rsid w:val="3299121C"/>
    <w:rsid w:val="399328E3"/>
    <w:rsid w:val="39D57F4E"/>
    <w:rsid w:val="3A897BE5"/>
    <w:rsid w:val="43A00BB0"/>
    <w:rsid w:val="45196EF7"/>
    <w:rsid w:val="47CC1A12"/>
    <w:rsid w:val="4B2E3604"/>
    <w:rsid w:val="512B7E71"/>
    <w:rsid w:val="57C10665"/>
    <w:rsid w:val="5FA2649A"/>
    <w:rsid w:val="5FC829BC"/>
    <w:rsid w:val="63245CBB"/>
    <w:rsid w:val="6374084D"/>
    <w:rsid w:val="646E1EDE"/>
    <w:rsid w:val="69BB367D"/>
    <w:rsid w:val="6E4E2EEA"/>
    <w:rsid w:val="7DF262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link w:val="16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1"/>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162"/>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184"/>
    <w:qFormat/>
    <w:uiPriority w:val="9"/>
    <w:pPr>
      <w:keepNext/>
      <w:keepLines/>
      <w:spacing w:before="280" w:after="290" w:line="376" w:lineRule="auto"/>
      <w:outlineLvl w:val="3"/>
    </w:pPr>
    <w:rPr>
      <w:rFonts w:ascii="Cambria" w:hAnsi="Cambria"/>
      <w:b/>
      <w:bCs/>
      <w:sz w:val="28"/>
      <w:szCs w:val="28"/>
    </w:rPr>
  </w:style>
  <w:style w:type="character" w:default="1" w:styleId="28">
    <w:name w:val="Default Paragraph Font"/>
    <w:unhideWhenUsed/>
    <w:uiPriority w:val="1"/>
  </w:style>
  <w:style w:type="table" w:default="1" w:styleId="26">
    <w:name w:val="Normal Table"/>
    <w:unhideWhenUsed/>
    <w:qFormat/>
    <w:uiPriority w:val="99"/>
    <w:tblPr>
      <w:tblStyle w:val="26"/>
      <w:tblCellMar>
        <w:top w:w="0" w:type="dxa"/>
        <w:left w:w="108" w:type="dxa"/>
        <w:bottom w:w="0" w:type="dxa"/>
        <w:right w:w="108" w:type="dxa"/>
      </w:tblCellMar>
    </w:tblPr>
  </w:style>
  <w:style w:type="paragraph" w:styleId="6">
    <w:name w:val="Normal Indent"/>
    <w:basedOn w:val="1"/>
    <w:link w:val="163"/>
    <w:qFormat/>
    <w:uiPriority w:val="0"/>
    <w:pPr>
      <w:ind w:firstLine="420" w:firstLineChars="200"/>
    </w:pPr>
  </w:style>
  <w:style w:type="paragraph" w:styleId="7">
    <w:name w:val="caption"/>
    <w:basedOn w:val="1"/>
    <w:next w:val="1"/>
    <w:qFormat/>
    <w:uiPriority w:val="0"/>
    <w:rPr>
      <w:rFonts w:ascii="Arial" w:hAnsi="Arial" w:eastAsia="黑体" w:cs="Arial"/>
      <w:sz w:val="20"/>
      <w:szCs w:val="20"/>
    </w:rPr>
  </w:style>
  <w:style w:type="paragraph" w:styleId="8">
    <w:name w:val="List Bullet"/>
    <w:basedOn w:val="1"/>
    <w:qFormat/>
    <w:uiPriority w:val="0"/>
    <w:pPr>
      <w:numPr>
        <w:ilvl w:val="0"/>
        <w:numId w:val="1"/>
      </w:numPr>
    </w:pPr>
    <w:rPr>
      <w:rFonts w:cs="Times New Roman"/>
      <w:szCs w:val="21"/>
    </w:rPr>
  </w:style>
  <w:style w:type="paragraph" w:styleId="9">
    <w:name w:val="Document Map"/>
    <w:basedOn w:val="1"/>
    <w:link w:val="164"/>
    <w:unhideWhenUsed/>
    <w:uiPriority w:val="99"/>
    <w:rPr>
      <w:rFonts w:ascii="宋体"/>
      <w:sz w:val="18"/>
      <w:szCs w:val="18"/>
    </w:rPr>
  </w:style>
  <w:style w:type="paragraph" w:styleId="10">
    <w:name w:val="annotation text"/>
    <w:basedOn w:val="1"/>
    <w:link w:val="165"/>
    <w:qFormat/>
    <w:uiPriority w:val="99"/>
    <w:pPr>
      <w:jc w:val="left"/>
    </w:pPr>
    <w:rPr>
      <w:kern w:val="0"/>
      <w:sz w:val="20"/>
    </w:rPr>
  </w:style>
  <w:style w:type="paragraph" w:styleId="11">
    <w:name w:val="Body Text"/>
    <w:basedOn w:val="1"/>
    <w:link w:val="166"/>
    <w:qFormat/>
    <w:uiPriority w:val="1"/>
    <w:pPr>
      <w:snapToGrid w:val="0"/>
      <w:spacing w:afterLines="30" w:line="300" w:lineRule="auto"/>
      <w:ind w:firstLine="200" w:firstLineChars="200"/>
    </w:pPr>
    <w:rPr>
      <w:rFonts w:ascii="仿宋_GB2312" w:hAnsi="宋体" w:eastAsia="仿宋_GB2312"/>
      <w:bCs/>
      <w:kern w:val="0"/>
      <w:sz w:val="24"/>
      <w:szCs w:val="20"/>
    </w:rPr>
  </w:style>
  <w:style w:type="paragraph" w:styleId="12">
    <w:name w:val="Body Text Indent"/>
    <w:basedOn w:val="1"/>
    <w:link w:val="167"/>
    <w:qFormat/>
    <w:uiPriority w:val="0"/>
    <w:pPr>
      <w:spacing w:after="120"/>
      <w:ind w:left="420" w:leftChars="200"/>
    </w:pPr>
    <w:rPr>
      <w:kern w:val="0"/>
      <w:sz w:val="20"/>
    </w:rPr>
  </w:style>
  <w:style w:type="paragraph" w:styleId="13">
    <w:name w:val="toc 3"/>
    <w:basedOn w:val="1"/>
    <w:next w:val="1"/>
    <w:qFormat/>
    <w:uiPriority w:val="39"/>
    <w:pPr>
      <w:tabs>
        <w:tab w:val="left" w:pos="1440"/>
        <w:tab w:val="right" w:leader="dot" w:pos="8495"/>
      </w:tabs>
      <w:ind w:left="840" w:leftChars="400"/>
      <w:jc w:val="center"/>
    </w:pPr>
    <w:rPr>
      <w:color w:val="000000"/>
    </w:rPr>
  </w:style>
  <w:style w:type="paragraph" w:styleId="14">
    <w:name w:val="Date"/>
    <w:basedOn w:val="1"/>
    <w:next w:val="1"/>
    <w:link w:val="168"/>
    <w:qFormat/>
    <w:uiPriority w:val="0"/>
    <w:rPr>
      <w:kern w:val="0"/>
      <w:sz w:val="20"/>
    </w:rPr>
  </w:style>
  <w:style w:type="paragraph" w:styleId="15">
    <w:name w:val="Balloon Text"/>
    <w:basedOn w:val="1"/>
    <w:link w:val="169"/>
    <w:qFormat/>
    <w:uiPriority w:val="99"/>
    <w:rPr>
      <w:kern w:val="0"/>
      <w:sz w:val="18"/>
      <w:szCs w:val="18"/>
    </w:rPr>
  </w:style>
  <w:style w:type="paragraph" w:styleId="16">
    <w:name w:val="footer"/>
    <w:basedOn w:val="1"/>
    <w:link w:val="170"/>
    <w:unhideWhenUsed/>
    <w:qFormat/>
    <w:uiPriority w:val="99"/>
    <w:pPr>
      <w:tabs>
        <w:tab w:val="center" w:pos="4153"/>
        <w:tab w:val="right" w:pos="8306"/>
      </w:tabs>
      <w:snapToGrid w:val="0"/>
      <w:jc w:val="left"/>
    </w:pPr>
    <w:rPr>
      <w:rFonts w:ascii="Calibri" w:hAnsi="Calibri"/>
      <w:kern w:val="0"/>
      <w:sz w:val="18"/>
      <w:szCs w:val="18"/>
    </w:rPr>
  </w:style>
  <w:style w:type="paragraph" w:styleId="17">
    <w:name w:val="header"/>
    <w:basedOn w:val="1"/>
    <w:link w:val="171"/>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rPr>
      <w:sz w:val="28"/>
    </w:rPr>
  </w:style>
  <w:style w:type="paragraph" w:styleId="19">
    <w:name w:val="Body Text Indent 3"/>
    <w:basedOn w:val="1"/>
    <w:link w:val="172"/>
    <w:qFormat/>
    <w:uiPriority w:val="0"/>
    <w:pPr>
      <w:autoSpaceDE w:val="0"/>
      <w:autoSpaceDN w:val="0"/>
      <w:adjustRightInd w:val="0"/>
      <w:spacing w:line="360" w:lineRule="auto"/>
      <w:ind w:firstLine="420"/>
    </w:pPr>
    <w:rPr>
      <w:rFonts w:ascii="宋体" w:hAnsi="宋体"/>
      <w:kern w:val="0"/>
      <w:sz w:val="24"/>
    </w:rPr>
  </w:style>
  <w:style w:type="paragraph" w:styleId="20">
    <w:name w:val="toc 2"/>
    <w:basedOn w:val="1"/>
    <w:next w:val="1"/>
    <w:qFormat/>
    <w:uiPriority w:val="39"/>
    <w:pPr>
      <w:ind w:left="420" w:leftChars="200"/>
    </w:pPr>
  </w:style>
  <w:style w:type="paragraph" w:styleId="21">
    <w:name w:val="toc 9"/>
    <w:basedOn w:val="1"/>
    <w:next w:val="1"/>
    <w:qFormat/>
    <w:uiPriority w:val="0"/>
    <w:pPr>
      <w:ind w:left="3360" w:leftChars="1600"/>
    </w:pPr>
  </w:style>
  <w:style w:type="paragraph" w:styleId="22">
    <w:name w:val="Body Text 2"/>
    <w:basedOn w:val="1"/>
    <w:link w:val="173"/>
    <w:unhideWhenUsed/>
    <w:uiPriority w:val="99"/>
    <w:pPr>
      <w:spacing w:after="120" w:line="480" w:lineRule="auto"/>
    </w:pPr>
  </w:style>
  <w:style w:type="paragraph" w:styleId="23">
    <w:name w:val="HTML Preformatted"/>
    <w:basedOn w:val="1"/>
    <w:link w:val="17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10"/>
    <w:next w:val="10"/>
    <w:link w:val="175"/>
    <w:qFormat/>
    <w:uiPriority w:val="99"/>
    <w:rPr>
      <w:b/>
      <w:bCs/>
    </w:rPr>
  </w:style>
  <w:style w:type="table" w:styleId="27">
    <w:name w:val="Table Grid"/>
    <w:basedOn w:val="26"/>
    <w:uiPriority w:val="59"/>
    <w:tblPr>
      <w:tblStyle w:val="2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qFormat/>
    <w:uiPriority w:val="22"/>
    <w:rPr>
      <w:b/>
      <w:bCs/>
    </w:rPr>
  </w:style>
  <w:style w:type="character" w:styleId="30">
    <w:name w:val="page number"/>
    <w:qFormat/>
    <w:uiPriority w:val="0"/>
  </w:style>
  <w:style w:type="character" w:styleId="31">
    <w:name w:val="FollowedHyperlink"/>
    <w:qFormat/>
    <w:uiPriority w:val="99"/>
    <w:rPr>
      <w:rFonts w:eastAsia="仿宋_GB2312"/>
      <w:color w:val="auto"/>
      <w:sz w:val="24"/>
      <w:szCs w:val="24"/>
      <w:u w:val="none"/>
    </w:rPr>
  </w:style>
  <w:style w:type="character" w:styleId="32">
    <w:name w:val="Emphasis"/>
    <w:qFormat/>
    <w:uiPriority w:val="0"/>
  </w:style>
  <w:style w:type="character" w:styleId="33">
    <w:name w:val="Hyperlink"/>
    <w:qFormat/>
    <w:uiPriority w:val="99"/>
    <w:rPr>
      <w:rFonts w:ascii="仿宋_GB2312" w:eastAsia="仿宋_GB2312"/>
      <w:color w:val="000000"/>
      <w:sz w:val="24"/>
      <w:szCs w:val="24"/>
      <w:u w:val="none"/>
    </w:rPr>
  </w:style>
  <w:style w:type="character" w:styleId="34">
    <w:name w:val="annotation reference"/>
    <w:qFormat/>
    <w:uiPriority w:val="99"/>
    <w:rPr>
      <w:sz w:val="21"/>
      <w:szCs w:val="21"/>
    </w:rPr>
  </w:style>
  <w:style w:type="paragraph" w:customStyle="1" w:styleId="35">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
    <w:name w:val="font4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5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8">
    <w:name w:val="列表段落"/>
    <w:basedOn w:val="1"/>
    <w:qFormat/>
    <w:uiPriority w:val="0"/>
    <w:pPr>
      <w:widowControl/>
      <w:ind w:firstLine="420" w:firstLineChars="200"/>
      <w:jc w:val="left"/>
    </w:pPr>
    <w:rPr>
      <w:rFonts w:cs="Times New Roman"/>
      <w:kern w:val="0"/>
      <w:sz w:val="24"/>
    </w:rPr>
  </w:style>
  <w:style w:type="paragraph" w:customStyle="1" w:styleId="39">
    <w:name w:val="Default"/>
    <w:link w:val="176"/>
    <w:qFormat/>
    <w:uiPriority w:val="0"/>
    <w:pPr>
      <w:widowControl w:val="0"/>
      <w:autoSpaceDE w:val="0"/>
      <w:autoSpaceDN w:val="0"/>
      <w:adjustRightInd w:val="0"/>
    </w:pPr>
    <w:rPr>
      <w:rFonts w:ascii="Arial Narrow" w:hAnsi="Arial Narrow"/>
      <w:color w:val="000000"/>
      <w:sz w:val="24"/>
      <w:szCs w:val="24"/>
      <w:lang w:val="en-US" w:eastAsia="zh-CN" w:bidi="ar-SA"/>
    </w:rPr>
  </w:style>
  <w:style w:type="paragraph" w:customStyle="1" w:styleId="40">
    <w:name w:val="font2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1">
    <w:name w:val="Char Char Char Char Char Char Char Char Char Char"/>
    <w:basedOn w:val="1"/>
    <w:qFormat/>
    <w:uiPriority w:val="0"/>
    <w:pPr>
      <w:widowControl/>
      <w:spacing w:after="160" w:line="240" w:lineRule="exact"/>
      <w:jc w:val="left"/>
    </w:pPr>
    <w:rPr>
      <w:szCs w:val="20"/>
    </w:rPr>
  </w:style>
  <w:style w:type="paragraph" w:customStyle="1" w:styleId="42">
    <w:name w:val="font25"/>
    <w:basedOn w:val="1"/>
    <w:uiPriority w:val="0"/>
    <w:pPr>
      <w:widowControl/>
      <w:spacing w:before="100" w:beforeAutospacing="1" w:after="100" w:afterAutospacing="1"/>
      <w:jc w:val="left"/>
    </w:pPr>
    <w:rPr>
      <w:rFonts w:ascii="宋体" w:hAnsi="宋体" w:cs="宋体"/>
      <w:kern w:val="0"/>
      <w:sz w:val="18"/>
      <w:szCs w:val="18"/>
    </w:rPr>
  </w:style>
  <w:style w:type="paragraph" w:styleId="43">
    <w:name w:val="List Paragraph"/>
    <w:basedOn w:val="1"/>
    <w:link w:val="177"/>
    <w:qFormat/>
    <w:uiPriority w:val="34"/>
    <w:pPr>
      <w:ind w:firstLine="420" w:firstLineChars="200"/>
    </w:pPr>
    <w:rPr>
      <w:rFonts w:ascii="Calibri" w:hAnsi="Calibri"/>
      <w:szCs w:val="22"/>
    </w:rPr>
  </w:style>
  <w:style w:type="paragraph" w:customStyle="1" w:styleId="44">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Char1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
    <w:name w:val="font3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7">
    <w:name w:val="absatz4"/>
    <w:basedOn w:val="1"/>
    <w:link w:val="180"/>
    <w:qFormat/>
    <w:uiPriority w:val="0"/>
    <w:pPr>
      <w:widowControl/>
      <w:tabs>
        <w:tab w:val="left" w:pos="709"/>
        <w:tab w:val="left" w:pos="2268"/>
        <w:tab w:val="right" w:pos="10206"/>
      </w:tabs>
      <w:ind w:left="2268" w:hanging="2268"/>
    </w:pPr>
    <w:rPr>
      <w:rFonts w:ascii="Calibri" w:hAnsi="Calibri"/>
      <w:kern w:val="0"/>
      <w:sz w:val="24"/>
      <w:szCs w:val="20"/>
      <w:lang w:val="de-DE" w:eastAsia="de-DE"/>
    </w:rPr>
  </w:style>
  <w:style w:type="paragraph" w:customStyle="1" w:styleId="48">
    <w:name w:val="xl67"/>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49">
    <w:name w:val="样式41"/>
    <w:basedOn w:val="1"/>
    <w:qFormat/>
    <w:uiPriority w:val="0"/>
    <w:pPr>
      <w:tabs>
        <w:tab w:val="left" w:pos="945"/>
      </w:tabs>
      <w:spacing w:line="360" w:lineRule="auto"/>
      <w:ind w:left="1410" w:hanging="360"/>
    </w:pPr>
    <w:rPr>
      <w:b/>
      <w:color w:val="000000"/>
      <w:sz w:val="24"/>
      <w:szCs w:val="20"/>
    </w:rPr>
  </w:style>
  <w:style w:type="paragraph" w:customStyle="1" w:styleId="50">
    <w:name w:val="xl68"/>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51">
    <w:name w:val="保留正文"/>
    <w:basedOn w:val="11"/>
    <w:qFormat/>
    <w:uiPriority w:val="0"/>
    <w:pPr>
      <w:keepNext/>
      <w:snapToGrid/>
      <w:spacing w:afterLines="0" w:line="240" w:lineRule="auto"/>
      <w:ind w:firstLine="0" w:firstLineChars="0"/>
    </w:pPr>
    <w:rPr>
      <w:rFonts w:ascii="Times New Roman" w:hAnsi="Times New Roman" w:eastAsia="宋体"/>
      <w:bCs w:val="0"/>
      <w:sz w:val="21"/>
      <w:szCs w:val="24"/>
    </w:rPr>
  </w:style>
  <w:style w:type="paragraph" w:customStyle="1" w:styleId="52">
    <w:name w:val="文档标签"/>
    <w:next w:val="1"/>
    <w:qFormat/>
    <w:uiPriority w:val="0"/>
    <w:pPr>
      <w:pBdr>
        <w:top w:val="double" w:color="5F5F5F" w:sz="6" w:space="0"/>
        <w:bottom w:val="double" w:color="5F5F5F" w:sz="6" w:space="0"/>
      </w:pBdr>
      <w:spacing w:after="40" w:line="240" w:lineRule="atLeast"/>
      <w:jc w:val="center"/>
    </w:pPr>
    <w:rPr>
      <w:rFonts w:ascii="华文新魏" w:hAnsi="Garamond" w:eastAsia="华文新魏"/>
      <w:b/>
      <w:caps/>
      <w:spacing w:val="20"/>
      <w:sz w:val="96"/>
      <w:szCs w:val="96"/>
      <w:lang w:val="en-US" w:eastAsia="zh-CN" w:bidi="he-IL"/>
    </w:rPr>
  </w:style>
  <w:style w:type="paragraph" w:customStyle="1" w:styleId="53">
    <w:name w:val="tableheader"/>
    <w:basedOn w:val="1"/>
    <w:qFormat/>
    <w:uiPriority w:val="0"/>
    <w:pPr>
      <w:widowControl/>
      <w:shd w:val="clear" w:color="auto" w:fill="ABCDEF"/>
      <w:spacing w:before="100" w:beforeAutospacing="1" w:after="100" w:afterAutospacing="1"/>
      <w:jc w:val="left"/>
    </w:pPr>
    <w:rPr>
      <w:rFonts w:ascii="宋体" w:hAnsi="宋体" w:cs="宋体"/>
      <w:kern w:val="0"/>
      <w:sz w:val="24"/>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5">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6">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
    <w:name w:val="正文 A"/>
    <w:qFormat/>
    <w:uiPriority w:val="0"/>
    <w:pPr>
      <w:widowControl w:val="0"/>
      <w:jc w:val="both"/>
    </w:pPr>
    <w:rPr>
      <w:rFonts w:ascii="Times New Roman" w:hAnsi="Times New Roman" w:eastAsia="ヒラギノ角ゴ Pro W3"/>
      <w:color w:val="000000"/>
      <w:kern w:val="2"/>
      <w:sz w:val="21"/>
      <w:lang w:val="en-US" w:eastAsia="zh-CN" w:bidi="ar-SA"/>
    </w:rPr>
  </w:style>
  <w:style w:type="paragraph" w:customStyle="1" w:styleId="58">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9">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
    <w:name w:val="font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1">
    <w:name w:val="表头"/>
    <w:basedOn w:val="7"/>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6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3">
    <w:name w:val="正文 缩进"/>
    <w:basedOn w:val="1"/>
    <w:qFormat/>
    <w:uiPriority w:val="0"/>
    <w:pPr>
      <w:jc w:val="left"/>
    </w:pPr>
    <w:rPr>
      <w:rFonts w:ascii="Calibri" w:hAnsi="Calibri" w:eastAsia="仿宋_GB2312"/>
      <w:b/>
      <w:sz w:val="28"/>
    </w:rPr>
  </w:style>
  <w:style w:type="paragraph" w:customStyle="1" w:styleId="6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
    <w:name w:val="Char1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67">
    <w:name w:val="font6"/>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8">
    <w:name w:val="Char1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9">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70">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1">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72">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3">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74">
    <w:name w:val="文档正文"/>
    <w:basedOn w:val="1"/>
    <w:uiPriority w:val="0"/>
    <w:pPr>
      <w:adjustRightInd w:val="0"/>
      <w:spacing w:line="480" w:lineRule="atLeast"/>
      <w:ind w:firstLine="567" w:firstLineChars="200"/>
    </w:pPr>
    <w:rPr>
      <w:rFonts w:hint="eastAsia" w:ascii="长城仿宋"/>
      <w:kern w:val="0"/>
      <w:szCs w:val="20"/>
    </w:rPr>
  </w:style>
  <w:style w:type="paragraph" w:customStyle="1" w:styleId="75">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kern w:val="0"/>
      <w:sz w:val="20"/>
      <w:szCs w:val="20"/>
    </w:rPr>
  </w:style>
  <w:style w:type="paragraph" w:customStyle="1" w:styleId="76">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77">
    <w:name w:val="Char1 Char Char Char Char Char1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8">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Cs w:val="21"/>
    </w:rPr>
  </w:style>
  <w:style w:type="paragraph" w:customStyle="1" w:styleId="79">
    <w:name w:val="Char1 Char Char Char1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0">
    <w:name w:val="Char1 Char Char 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1">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82">
    <w:name w:val="font7"/>
    <w:basedOn w:val="1"/>
    <w:uiPriority w:val="0"/>
    <w:pPr>
      <w:widowControl/>
      <w:spacing w:before="100" w:beforeAutospacing="1" w:after="100" w:afterAutospacing="1"/>
      <w:jc w:val="left"/>
    </w:pPr>
    <w:rPr>
      <w:color w:val="000000"/>
      <w:kern w:val="0"/>
      <w:sz w:val="20"/>
      <w:szCs w:val="20"/>
    </w:rPr>
  </w:style>
  <w:style w:type="paragraph" w:customStyle="1" w:styleId="83">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4">
    <w:name w:val="Zchn Zchn"/>
    <w:basedOn w:val="1"/>
    <w:qFormat/>
    <w:uiPriority w:val="0"/>
    <w:rPr>
      <w:szCs w:val="20"/>
    </w:rPr>
  </w:style>
  <w:style w:type="paragraph" w:customStyle="1" w:styleId="8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6">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8">
    <w:name w:val="Pa1"/>
    <w:basedOn w:val="1"/>
    <w:next w:val="1"/>
    <w:uiPriority w:val="99"/>
    <w:pPr>
      <w:autoSpaceDE w:val="0"/>
      <w:autoSpaceDN w:val="0"/>
      <w:adjustRightInd w:val="0"/>
      <w:spacing w:line="151" w:lineRule="atLeast"/>
      <w:jc w:val="left"/>
    </w:pPr>
    <w:rPr>
      <w:rFonts w:ascii="......" w:hAnsi="Calibri" w:eastAsia="......"/>
      <w:kern w:val="0"/>
      <w:sz w:val="24"/>
    </w:rPr>
  </w:style>
  <w:style w:type="paragraph" w:customStyle="1" w:styleId="89">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90">
    <w:name w:val="xl99"/>
    <w:basedOn w:val="1"/>
    <w:uiPriority w:val="0"/>
    <w:pPr>
      <w:widowControl/>
      <w:spacing w:before="100" w:beforeAutospacing="1" w:after="100" w:afterAutospacing="1"/>
      <w:jc w:val="left"/>
    </w:pPr>
    <w:rPr>
      <w:rFonts w:ascii="宋体" w:hAnsi="宋体" w:cs="宋体"/>
      <w:b/>
      <w:bCs/>
      <w:kern w:val="0"/>
      <w:sz w:val="24"/>
    </w:rPr>
  </w:style>
  <w:style w:type="paragraph" w:customStyle="1" w:styleId="91">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92">
    <w:name w:val="Char1 Char 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列出段落1"/>
    <w:basedOn w:val="1"/>
    <w:qFormat/>
    <w:uiPriority w:val="0"/>
    <w:pPr>
      <w:ind w:firstLine="420" w:firstLineChars="200"/>
    </w:pPr>
  </w:style>
  <w:style w:type="paragraph" w:customStyle="1" w:styleId="94">
    <w:name w:val="Char1 Char Char Char Char Char1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5">
    <w:name w:val="xl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6">
    <w:name w:val="xl98"/>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4"/>
    </w:rPr>
  </w:style>
  <w:style w:type="paragraph" w:customStyle="1" w:styleId="97">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98">
    <w:name w:val="Char1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0">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01">
    <w:name w:val="font1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2">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color w:val="000000"/>
      <w:kern w:val="0"/>
      <w:sz w:val="20"/>
      <w:szCs w:val="20"/>
    </w:rPr>
  </w:style>
  <w:style w:type="paragraph" w:customStyle="1" w:styleId="103">
    <w:name w:val="font1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4">
    <w:name w:val="Char1 Char Char Char Char Char Char Char Char Char Char Char Char"/>
    <w:basedOn w:val="1"/>
    <w:qFormat/>
    <w:uiPriority w:val="0"/>
  </w:style>
  <w:style w:type="paragraph" w:customStyle="1" w:styleId="105">
    <w:name w:val="xl103"/>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6">
    <w:name w:val="font1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08">
    <w:name w:val="xl10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09">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10">
    <w:name w:val="xl107"/>
    <w:basedOn w:val="1"/>
    <w:uiPriority w:val="0"/>
    <w:pPr>
      <w:widowControl/>
      <w:shd w:val="clear" w:color="000000" w:fill="FFFFFF"/>
      <w:spacing w:before="100" w:beforeAutospacing="1" w:after="100" w:afterAutospacing="1"/>
      <w:jc w:val="center"/>
    </w:pPr>
    <w:rPr>
      <w:rFonts w:ascii="宋体" w:hAnsi="宋体" w:cs="宋体"/>
      <w:b/>
      <w:bCs/>
      <w:kern w:val="0"/>
      <w:sz w:val="36"/>
      <w:szCs w:val="36"/>
    </w:rPr>
  </w:style>
  <w:style w:type="paragraph" w:customStyle="1" w:styleId="111">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2">
    <w:name w:val="xl108"/>
    <w:basedOn w:val="1"/>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28"/>
      <w:szCs w:val="28"/>
    </w:rPr>
  </w:style>
  <w:style w:type="paragraph" w:customStyle="1" w:styleId="113">
    <w:name w:val="Char1 Char Char Char Char Char1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4">
    <w:name w:val="font3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Char2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6">
    <w:name w:val="font34"/>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7">
    <w:name w:val="font1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8">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9">
    <w:name w:val="font1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0">
    <w:name w:val="font14"/>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1">
    <w:name w:val="font1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1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3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4">
    <w:name w:val="font1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5">
    <w:name w:val="font1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6">
    <w:name w:val="font2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7">
    <w:name w:val="font2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8">
    <w:name w:val="font2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9">
    <w:name w:val="font2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font24"/>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1">
    <w:name w:val="font2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2">
    <w:name w:val="font2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3">
    <w:name w:val="font2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4">
    <w:name w:val="font3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5">
    <w:name w:val="font3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6">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7">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9">
    <w:name w:val="xl10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0">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1">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2">
    <w:name w:val="font3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43">
    <w:name w:val="font3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44">
    <w:name w:val="font3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45">
    <w:name w:val="font3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46">
    <w:name w:val="font4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47">
    <w:name w:val="font4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font4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49">
    <w:name w:val="font4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0">
    <w:name w:val="font44"/>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1">
    <w:name w:val="font4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2">
    <w:name w:val="font4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3">
    <w:name w:val="font4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4">
    <w:name w:val="font4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5">
    <w:name w:val="font5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6">
    <w:name w:val="font52"/>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样式1"/>
    <w:basedOn w:val="1"/>
    <w:uiPriority w:val="0"/>
    <w:pPr>
      <w:adjustRightInd w:val="0"/>
      <w:spacing w:line="400" w:lineRule="atLeast"/>
      <w:textAlignment w:val="baseline"/>
    </w:pPr>
    <w:rPr>
      <w:kern w:val="0"/>
      <w:sz w:val="24"/>
      <w:szCs w:val="20"/>
    </w:rPr>
  </w:style>
  <w:style w:type="paragraph" w:customStyle="1" w:styleId="159">
    <w:name w:val="方案正文"/>
    <w:basedOn w:val="1"/>
    <w:qFormat/>
    <w:uiPriority w:val="0"/>
    <w:pPr>
      <w:spacing w:line="360" w:lineRule="auto"/>
      <w:ind w:firstLine="480" w:firstLineChars="200"/>
    </w:pPr>
    <w:rPr>
      <w:rFonts w:ascii="宋体" w:cs="宋体"/>
      <w:color w:val="000000"/>
      <w:sz w:val="24"/>
    </w:rPr>
  </w:style>
  <w:style w:type="character" w:customStyle="1" w:styleId="160">
    <w:name w:val="标题 1 字符"/>
    <w:link w:val="2"/>
    <w:qFormat/>
    <w:uiPriority w:val="9"/>
    <w:rPr>
      <w:rFonts w:ascii="Times New Roman" w:hAnsi="Times New Roman" w:eastAsia="宋体" w:cs="Times New Roman"/>
      <w:b/>
      <w:bCs/>
      <w:kern w:val="44"/>
      <w:sz w:val="44"/>
      <w:szCs w:val="44"/>
    </w:rPr>
  </w:style>
  <w:style w:type="character" w:customStyle="1" w:styleId="161">
    <w:name w:val="标题 2 字符"/>
    <w:link w:val="3"/>
    <w:qFormat/>
    <w:uiPriority w:val="0"/>
    <w:rPr>
      <w:rFonts w:ascii="Arial" w:hAnsi="Arial" w:eastAsia="黑体" w:cs="Times New Roman"/>
      <w:b/>
      <w:bCs/>
      <w:sz w:val="32"/>
      <w:szCs w:val="32"/>
    </w:rPr>
  </w:style>
  <w:style w:type="character" w:customStyle="1" w:styleId="162">
    <w:name w:val="标题 3 字符"/>
    <w:link w:val="4"/>
    <w:qFormat/>
    <w:uiPriority w:val="0"/>
    <w:rPr>
      <w:rFonts w:ascii="Times New Roman" w:hAnsi="Times New Roman" w:eastAsia="宋体" w:cs="Times New Roman"/>
      <w:b/>
      <w:bCs/>
      <w:sz w:val="32"/>
      <w:szCs w:val="32"/>
    </w:rPr>
  </w:style>
  <w:style w:type="character" w:customStyle="1" w:styleId="163">
    <w:name w:val="正文缩进 字符"/>
    <w:link w:val="6"/>
    <w:uiPriority w:val="0"/>
    <w:rPr>
      <w:rFonts w:ascii="Times New Roman" w:hAnsi="Times New Roman"/>
      <w:kern w:val="2"/>
      <w:sz w:val="21"/>
      <w:szCs w:val="24"/>
    </w:rPr>
  </w:style>
  <w:style w:type="character" w:customStyle="1" w:styleId="164">
    <w:name w:val="文档结构图 字符"/>
    <w:link w:val="9"/>
    <w:semiHidden/>
    <w:uiPriority w:val="99"/>
    <w:rPr>
      <w:rFonts w:ascii="宋体" w:hAnsi="Times New Roman"/>
      <w:kern w:val="2"/>
      <w:sz w:val="18"/>
      <w:szCs w:val="18"/>
    </w:rPr>
  </w:style>
  <w:style w:type="character" w:customStyle="1" w:styleId="165">
    <w:name w:val="批注文字 字符"/>
    <w:link w:val="10"/>
    <w:qFormat/>
    <w:uiPriority w:val="99"/>
    <w:rPr>
      <w:rFonts w:ascii="Times New Roman" w:hAnsi="Times New Roman" w:eastAsia="宋体" w:cs="Times New Roman"/>
      <w:szCs w:val="24"/>
    </w:rPr>
  </w:style>
  <w:style w:type="character" w:customStyle="1" w:styleId="166">
    <w:name w:val="正文文本 字符"/>
    <w:link w:val="11"/>
    <w:qFormat/>
    <w:uiPriority w:val="1"/>
    <w:rPr>
      <w:rFonts w:ascii="仿宋_GB2312" w:hAnsi="宋体" w:eastAsia="仿宋_GB2312" w:cs="Times New Roman"/>
      <w:bCs/>
      <w:sz w:val="24"/>
      <w:szCs w:val="20"/>
    </w:rPr>
  </w:style>
  <w:style w:type="character" w:customStyle="1" w:styleId="167">
    <w:name w:val="正文文本缩进 字符"/>
    <w:link w:val="12"/>
    <w:qFormat/>
    <w:uiPriority w:val="0"/>
    <w:rPr>
      <w:rFonts w:ascii="Times New Roman" w:hAnsi="Times New Roman" w:eastAsia="宋体" w:cs="Times New Roman"/>
      <w:szCs w:val="24"/>
    </w:rPr>
  </w:style>
  <w:style w:type="character" w:customStyle="1" w:styleId="168">
    <w:name w:val="日期 字符"/>
    <w:link w:val="14"/>
    <w:qFormat/>
    <w:uiPriority w:val="0"/>
    <w:rPr>
      <w:rFonts w:ascii="Times New Roman" w:hAnsi="Times New Roman" w:eastAsia="宋体" w:cs="Times New Roman"/>
      <w:szCs w:val="24"/>
    </w:rPr>
  </w:style>
  <w:style w:type="character" w:customStyle="1" w:styleId="169">
    <w:name w:val="批注框文本 字符"/>
    <w:link w:val="15"/>
    <w:qFormat/>
    <w:uiPriority w:val="99"/>
    <w:rPr>
      <w:rFonts w:ascii="Times New Roman" w:hAnsi="Times New Roman" w:eastAsia="宋体" w:cs="Times New Roman"/>
      <w:sz w:val="18"/>
      <w:szCs w:val="18"/>
    </w:rPr>
  </w:style>
  <w:style w:type="character" w:customStyle="1" w:styleId="170">
    <w:name w:val="页脚 字符"/>
    <w:link w:val="16"/>
    <w:qFormat/>
    <w:uiPriority w:val="99"/>
    <w:rPr>
      <w:sz w:val="18"/>
      <w:szCs w:val="18"/>
    </w:rPr>
  </w:style>
  <w:style w:type="character" w:customStyle="1" w:styleId="171">
    <w:name w:val="页眉 字符"/>
    <w:link w:val="17"/>
    <w:qFormat/>
    <w:uiPriority w:val="0"/>
    <w:rPr>
      <w:sz w:val="18"/>
      <w:szCs w:val="18"/>
    </w:rPr>
  </w:style>
  <w:style w:type="character" w:customStyle="1" w:styleId="172">
    <w:name w:val="正文文本缩进 3 字符"/>
    <w:link w:val="19"/>
    <w:qFormat/>
    <w:uiPriority w:val="0"/>
    <w:rPr>
      <w:rFonts w:ascii="宋体" w:hAnsi="宋体" w:eastAsia="宋体" w:cs="Arial"/>
      <w:sz w:val="24"/>
      <w:szCs w:val="24"/>
    </w:rPr>
  </w:style>
  <w:style w:type="character" w:customStyle="1" w:styleId="173">
    <w:name w:val="正文文本 2 字符"/>
    <w:link w:val="22"/>
    <w:semiHidden/>
    <w:uiPriority w:val="99"/>
    <w:rPr>
      <w:rFonts w:ascii="Times New Roman" w:hAnsi="Times New Roman"/>
      <w:kern w:val="2"/>
      <w:sz w:val="21"/>
      <w:szCs w:val="24"/>
    </w:rPr>
  </w:style>
  <w:style w:type="character" w:customStyle="1" w:styleId="174">
    <w:name w:val="HTML 预设格式 字符"/>
    <w:link w:val="23"/>
    <w:qFormat/>
    <w:uiPriority w:val="99"/>
    <w:rPr>
      <w:rFonts w:ascii="宋体" w:hAnsi="宋体" w:eastAsia="宋体" w:cs="宋体"/>
      <w:kern w:val="0"/>
      <w:sz w:val="24"/>
      <w:szCs w:val="24"/>
    </w:rPr>
  </w:style>
  <w:style w:type="character" w:customStyle="1" w:styleId="175">
    <w:name w:val="批注主题 字符"/>
    <w:link w:val="25"/>
    <w:qFormat/>
    <w:uiPriority w:val="99"/>
    <w:rPr>
      <w:rFonts w:ascii="Times New Roman" w:hAnsi="Times New Roman" w:eastAsia="宋体" w:cs="Times New Roman"/>
      <w:b/>
      <w:bCs/>
      <w:szCs w:val="24"/>
    </w:rPr>
  </w:style>
  <w:style w:type="character" w:customStyle="1" w:styleId="176">
    <w:name w:val="Default Char"/>
    <w:link w:val="39"/>
    <w:qFormat/>
    <w:uiPriority w:val="0"/>
    <w:rPr>
      <w:rFonts w:ascii="Arial Narrow" w:hAnsi="Arial Narrow"/>
      <w:color w:val="000000"/>
      <w:sz w:val="24"/>
      <w:szCs w:val="24"/>
      <w:lang w:val="en-US" w:eastAsia="zh-CN" w:bidi="ar-SA"/>
    </w:rPr>
  </w:style>
  <w:style w:type="character" w:customStyle="1" w:styleId="177">
    <w:name w:val="列出段落 字符"/>
    <w:link w:val="43"/>
    <w:qFormat/>
    <w:locked/>
    <w:uiPriority w:val="34"/>
    <w:rPr>
      <w:kern w:val="2"/>
      <w:sz w:val="21"/>
      <w:szCs w:val="22"/>
    </w:rPr>
  </w:style>
  <w:style w:type="character" w:customStyle="1" w:styleId="178">
    <w:name w:val="NormalCharacter"/>
    <w:semiHidden/>
    <w:qFormat/>
    <w:uiPriority w:val="0"/>
  </w:style>
  <w:style w:type="character" w:customStyle="1" w:styleId="179">
    <w:name w:val="标题1"/>
    <w:qFormat/>
    <w:uiPriority w:val="0"/>
  </w:style>
  <w:style w:type="character" w:customStyle="1" w:styleId="180">
    <w:name w:val="absatz4 Zchn"/>
    <w:link w:val="47"/>
    <w:qFormat/>
    <w:uiPriority w:val="0"/>
    <w:rPr>
      <w:sz w:val="24"/>
      <w:lang w:val="de-DE" w:eastAsia="de-DE"/>
    </w:rPr>
  </w:style>
  <w:style w:type="character" w:customStyle="1" w:styleId="181">
    <w:name w:val="页眉 Char1"/>
    <w:qFormat/>
    <w:uiPriority w:val="0"/>
    <w:rPr>
      <w:sz w:val="18"/>
    </w:rPr>
  </w:style>
  <w:style w:type="character" w:customStyle="1" w:styleId="182">
    <w:name w:val="apple-converted-space"/>
    <w:uiPriority w:val="0"/>
  </w:style>
  <w:style w:type="character" w:customStyle="1" w:styleId="183">
    <w:name w:val="title"/>
    <w:qFormat/>
    <w:uiPriority w:val="0"/>
  </w:style>
  <w:style w:type="character" w:customStyle="1" w:styleId="184">
    <w:name w:val="标题 4 字符"/>
    <w:link w:val="5"/>
    <w:semiHidden/>
    <w:uiPriority w:val="9"/>
    <w:rPr>
      <w:rFonts w:ascii="Cambria" w:hAnsi="Cambria" w:eastAsia="宋体" w:cs="Times New Roman"/>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62</Pages>
  <Words>5365</Words>
  <Characters>30584</Characters>
  <Lines>254</Lines>
  <Paragraphs>71</Paragraphs>
  <TotalTime>1</TotalTime>
  <ScaleCrop>false</ScaleCrop>
  <LinksUpToDate>false</LinksUpToDate>
  <CharactersWithSpaces>35878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2024-03-15T07:34:00Z</dcterms:created>
  <dc:creator>Sky123.Org</dc:creator>
  <cp:lastModifiedBy>liangguirong</cp:lastModifiedBy>
  <cp:lastPrinted>2023-03-20T01:21:00Z</cp:lastPrinted>
  <dcterms:modified xsi:type="dcterms:W3CDTF">2024-04-01T10:09:29Z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20FE9CC7F55441A79D5B771FFBF8267E</vt:lpwstr>
  </property>
</Properties>
</file>